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hint="eastAsia" w:ascii="华文新魏" w:eastAsia="华文新魏"/>
          <w:b/>
          <w:bCs/>
          <w:color w:val="000000"/>
          <w:sz w:val="32"/>
          <w:szCs w:val="32"/>
        </w:rPr>
      </w:pPr>
      <w:r>
        <w:rPr>
          <w:rFonts w:hint="eastAsia" w:ascii="华文新魏" w:eastAsia="华文新魏"/>
          <w:b/>
          <w:bCs/>
          <w:color w:val="000000"/>
          <w:sz w:val="32"/>
          <w:szCs w:val="32"/>
        </w:rPr>
        <w:t>山西兰花科技创业股份有限公司大阳煤矿分公司</w:t>
      </w:r>
    </w:p>
    <w:p>
      <w:pPr>
        <w:spacing w:line="360" w:lineRule="auto"/>
        <w:jc w:val="center"/>
        <w:rPr>
          <w:rFonts w:hint="eastAsia" w:ascii="华文新魏" w:eastAsia="华文新魏"/>
          <w:b/>
          <w:bCs/>
          <w:color w:val="000000"/>
          <w:sz w:val="48"/>
          <w:szCs w:val="48"/>
        </w:rPr>
      </w:pPr>
      <w:r>
        <w:rPr>
          <w:rFonts w:hint="eastAsia" w:ascii="华文新魏" w:eastAsia="华文新魏"/>
          <w:b/>
          <w:bCs/>
          <w:color w:val="000000"/>
          <w:sz w:val="48"/>
          <w:szCs w:val="48"/>
        </w:rPr>
        <w:t>煤泥烘干系统建设项目竣工环境保护</w:t>
      </w:r>
    </w:p>
    <w:p>
      <w:pPr>
        <w:spacing w:line="360" w:lineRule="auto"/>
        <w:jc w:val="center"/>
        <w:rPr>
          <w:rFonts w:hint="eastAsia" w:ascii="华文新魏" w:eastAsia="华文新魏"/>
          <w:color w:val="000000"/>
          <w:sz w:val="48"/>
          <w:szCs w:val="48"/>
        </w:rPr>
      </w:pPr>
      <w:r>
        <w:rPr>
          <w:rFonts w:hint="eastAsia" w:ascii="华文新魏" w:eastAsia="华文新魏"/>
          <w:b/>
          <w:color w:val="000000"/>
          <w:sz w:val="48"/>
          <w:szCs w:val="48"/>
        </w:rPr>
        <w:t>验收监测报告表</w:t>
      </w:r>
    </w:p>
    <w:p>
      <w:pPr>
        <w:spacing w:line="360" w:lineRule="auto"/>
        <w:jc w:val="center"/>
        <w:rPr>
          <w:rFonts w:ascii="仿宋_GB2312" w:eastAsia="仿宋_GB2312"/>
          <w:color w:val="000000"/>
          <w:sz w:val="28"/>
        </w:rPr>
      </w:pPr>
    </w:p>
    <w:p>
      <w:pPr>
        <w:jc w:val="center"/>
        <w:rPr>
          <w:rFonts w:hint="eastAsia" w:ascii="仿宋_GB2312" w:eastAsia="仿宋_GB2312"/>
          <w:color w:val="000000"/>
          <w:sz w:val="28"/>
        </w:rPr>
      </w:pPr>
    </w:p>
    <w:p>
      <w:pPr>
        <w:jc w:val="center"/>
        <w:rPr>
          <w:rFonts w:hint="eastAsia"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rPr>
          <w:rFonts w:hint="eastAsia" w:ascii="华文新魏" w:eastAsia="华文新魏"/>
          <w:color w:val="000000"/>
          <w:sz w:val="28"/>
          <w:szCs w:val="28"/>
        </w:rPr>
      </w:pPr>
      <w:r>
        <w:rPr>
          <w:rFonts w:ascii="仿宋_GB2312" w:eastAsia="仿宋_GB2312"/>
          <w:color w:val="000000"/>
          <w:sz w:val="28"/>
        </w:rPr>
        <w:tab/>
      </w:r>
    </w:p>
    <w:p>
      <w:pPr>
        <w:rPr>
          <w:rFonts w:hint="eastAsia" w:ascii="华文新魏" w:eastAsia="华文新魏"/>
          <w:color w:val="000000"/>
          <w:sz w:val="28"/>
          <w:szCs w:val="28"/>
        </w:rPr>
      </w:pPr>
      <w:r>
        <w:rPr>
          <w:rFonts w:hint="eastAsia" w:ascii="华文新魏" w:eastAsia="华文新魏"/>
          <w:color w:val="000000"/>
          <w:sz w:val="28"/>
          <w:szCs w:val="28"/>
        </w:rPr>
        <w:tab/>
      </w:r>
      <w:r>
        <w:rPr>
          <w:rFonts w:hint="eastAsia" w:ascii="华文新魏" w:eastAsia="华文新魏"/>
          <w:color w:val="000000"/>
          <w:sz w:val="28"/>
          <w:szCs w:val="28"/>
          <w:lang w:val="en-US" w:eastAsia="zh-CN"/>
        </w:rPr>
        <w:t xml:space="preserve"> </w:t>
      </w:r>
      <w:r>
        <w:rPr>
          <w:rFonts w:hint="eastAsia" w:ascii="华文新魏" w:eastAsia="华文新魏"/>
          <w:color w:val="000000"/>
          <w:sz w:val="28"/>
          <w:szCs w:val="28"/>
        </w:rPr>
        <w:t xml:space="preserve"> </w:t>
      </w:r>
      <w:r>
        <w:rPr>
          <w:rFonts w:hint="eastAsia" w:ascii="华文新魏" w:eastAsia="华文新魏"/>
          <w:color w:val="000000"/>
          <w:sz w:val="28"/>
          <w:szCs w:val="28"/>
          <w:lang w:val="en-US" w:eastAsia="zh-CN"/>
        </w:rPr>
        <w:t xml:space="preserve"> </w:t>
      </w:r>
      <w:r>
        <w:rPr>
          <w:rFonts w:hint="eastAsia" w:ascii="华文新魏" w:eastAsia="华文新魏"/>
          <w:color w:val="000000"/>
          <w:sz w:val="28"/>
          <w:szCs w:val="28"/>
        </w:rPr>
        <w:t>建设单位:</w:t>
      </w:r>
      <w:r>
        <w:rPr>
          <w:rFonts w:hint="eastAsia" w:ascii="华文新魏" w:eastAsia="华文新魏"/>
          <w:color w:val="000000"/>
          <w:sz w:val="28"/>
          <w:szCs w:val="28"/>
          <w:lang w:val="en-US" w:eastAsia="zh-CN"/>
        </w:rPr>
        <w:t xml:space="preserve"> </w:t>
      </w:r>
      <w:r>
        <w:rPr>
          <w:rFonts w:hint="eastAsia" w:ascii="华文新魏" w:eastAsia="华文新魏"/>
          <w:color w:val="000000"/>
          <w:sz w:val="28"/>
          <w:szCs w:val="28"/>
        </w:rPr>
        <w:t>山西兰花科技创业股份有限公司大阳煤矿分公司</w:t>
      </w:r>
    </w:p>
    <w:p>
      <w:pPr>
        <w:spacing w:line="360" w:lineRule="auto"/>
        <w:ind w:firstLine="840" w:firstLineChars="300"/>
        <w:rPr>
          <w:rFonts w:hint="eastAsia" w:ascii="华文新魏" w:eastAsia="华文新魏"/>
          <w:color w:val="auto"/>
          <w:sz w:val="28"/>
          <w:szCs w:val="28"/>
        </w:rPr>
      </w:pPr>
      <w:r>
        <w:rPr>
          <w:rFonts w:hint="eastAsia" w:ascii="华文新魏" w:eastAsia="华文新魏"/>
          <w:color w:val="auto"/>
          <w:sz w:val="28"/>
          <w:szCs w:val="28"/>
        </w:rPr>
        <w:t>编制单位：山西</w:t>
      </w:r>
      <w:r>
        <w:rPr>
          <w:rFonts w:hint="eastAsia" w:ascii="华文新魏" w:eastAsia="华文新魏"/>
          <w:color w:val="auto"/>
          <w:sz w:val="28"/>
          <w:szCs w:val="28"/>
          <w:lang w:eastAsia="zh-CN"/>
        </w:rPr>
        <w:t>中智瑞洁环保工程有限</w:t>
      </w:r>
      <w:r>
        <w:rPr>
          <w:rFonts w:hint="eastAsia" w:ascii="华文新魏" w:eastAsia="华文新魏"/>
          <w:color w:val="auto"/>
          <w:sz w:val="28"/>
          <w:szCs w:val="28"/>
        </w:rPr>
        <w:t>公司</w:t>
      </w:r>
    </w:p>
    <w:p>
      <w:pPr>
        <w:rPr>
          <w:rFonts w:hint="eastAsia" w:ascii="仿宋_GB2312" w:eastAsia="仿宋_GB2312"/>
          <w:color w:val="000000"/>
          <w:sz w:val="28"/>
          <w:lang w:val="en-US" w:eastAsia="zh-CN"/>
        </w:rPr>
      </w:pPr>
      <w:r>
        <w:rPr>
          <w:rFonts w:hint="eastAsia" w:ascii="仿宋_GB2312" w:eastAsia="仿宋_GB2312"/>
          <w:color w:val="000000"/>
          <w:sz w:val="28"/>
          <w:lang w:val="en-US" w:eastAsia="zh-CN"/>
        </w:rPr>
        <w:t xml:space="preserve"> </w:t>
      </w:r>
    </w:p>
    <w:p>
      <w:pPr>
        <w:rPr>
          <w:rFonts w:hint="eastAsia" w:ascii="仿宋_GB2312" w:eastAsia="仿宋_GB2312"/>
          <w:color w:val="000000"/>
          <w:sz w:val="28"/>
        </w:rPr>
      </w:pPr>
    </w:p>
    <w:p>
      <w:pPr>
        <w:rPr>
          <w:rFonts w:hint="eastAsia" w:ascii="华文新魏" w:eastAsia="华文新魏"/>
          <w:color w:val="000000"/>
          <w:sz w:val="28"/>
          <w:szCs w:val="28"/>
        </w:rPr>
      </w:pPr>
    </w:p>
    <w:p>
      <w:pPr>
        <w:jc w:val="center"/>
        <w:rPr>
          <w:rFonts w:hint="eastAsia" w:ascii="华文新魏" w:eastAsia="华文新魏"/>
          <w:color w:val="000000"/>
          <w:sz w:val="28"/>
          <w:szCs w:val="28"/>
        </w:rPr>
      </w:pPr>
      <w:r>
        <w:rPr>
          <w:rFonts w:hint="eastAsia" w:ascii="华文新魏" w:eastAsia="华文新魏"/>
          <w:b/>
          <w:color w:val="000000"/>
          <w:sz w:val="28"/>
          <w:szCs w:val="28"/>
          <w:lang w:val="en-US" w:eastAsia="zh-CN"/>
        </w:rPr>
        <w:t>2018</w:t>
      </w:r>
      <w:r>
        <w:rPr>
          <w:rFonts w:hint="eastAsia" w:ascii="华文新魏" w:eastAsia="华文新魏"/>
          <w:color w:val="000000"/>
          <w:sz w:val="28"/>
          <w:szCs w:val="28"/>
        </w:rPr>
        <w:t>年</w:t>
      </w:r>
      <w:r>
        <w:rPr>
          <w:rFonts w:hint="eastAsia" w:ascii="华文新魏" w:eastAsia="华文新魏"/>
          <w:b/>
          <w:color w:val="000000"/>
          <w:sz w:val="28"/>
          <w:szCs w:val="28"/>
          <w:lang w:val="en-US" w:eastAsia="zh-CN"/>
        </w:rPr>
        <w:t>12</w:t>
      </w:r>
      <w:r>
        <w:rPr>
          <w:rFonts w:hint="eastAsia" w:ascii="华文新魏" w:eastAsia="华文新魏"/>
          <w:color w:val="000000"/>
          <w:sz w:val="28"/>
          <w:szCs w:val="28"/>
        </w:rPr>
        <w:t>月</w:t>
      </w:r>
    </w:p>
    <w:p>
      <w:pPr>
        <w:rPr>
          <w:rFonts w:hint="eastAsia" w:ascii="华文新魏" w:eastAsia="华文新魏"/>
          <w:color w:val="000000"/>
          <w:sz w:val="28"/>
          <w:szCs w:val="28"/>
        </w:rPr>
      </w:pPr>
    </w:p>
    <w:p>
      <w:pPr>
        <w:spacing w:after="0" w:afterLines="0" w:line="360" w:lineRule="auto"/>
        <w:rPr>
          <w:rFonts w:ascii="仿宋_GB2312" w:eastAsia="仿宋_GB2312"/>
          <w:color w:val="000000"/>
          <w:sz w:val="32"/>
        </w:rPr>
      </w:pPr>
      <w:r>
        <w:rPr>
          <w:rFonts w:ascii="仿宋_GB2312" w:eastAsia="仿宋_GB2312"/>
          <w:color w:val="000000"/>
          <w:sz w:val="32"/>
        </w:rPr>
        <w:br w:type="page"/>
      </w:r>
    </w:p>
    <w:p>
      <w:pPr>
        <w:spacing w:after="0" w:afterLines="0" w:line="360" w:lineRule="auto"/>
        <w:rPr>
          <w:rFonts w:eastAsia="仿宋_GB2312"/>
          <w:b/>
          <w:color w:val="000000"/>
          <w:sz w:val="21"/>
          <w:szCs w:val="21"/>
        </w:rPr>
      </w:pPr>
      <w:bookmarkStart w:id="23" w:name="_GoBack"/>
      <w:r>
        <w:rPr>
          <w:rFonts w:hAnsi="Arial" w:eastAsia="仿宋_GB2312"/>
          <w:b/>
          <w:color w:val="000000"/>
          <w:sz w:val="21"/>
          <w:szCs w:val="21"/>
        </w:rPr>
        <w:drawing>
          <wp:inline distT="0" distB="0" distL="114300" distR="114300">
            <wp:extent cx="5271135" cy="8839200"/>
            <wp:effectExtent l="0" t="0" r="5715" b="0"/>
            <wp:docPr id="9" name="图片 9" descr="微信图片_2018121009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81210091157"/>
                    <pic:cNvPicPr>
                      <a:picLocks noChangeAspect="1"/>
                    </pic:cNvPicPr>
                  </pic:nvPicPr>
                  <pic:blipFill>
                    <a:blip r:embed="rId5"/>
                    <a:stretch>
                      <a:fillRect/>
                    </a:stretch>
                  </pic:blipFill>
                  <pic:spPr>
                    <a:xfrm>
                      <a:off x="0" y="0"/>
                      <a:ext cx="5271135" cy="8839200"/>
                    </a:xfrm>
                    <a:prstGeom prst="rect">
                      <a:avLst/>
                    </a:prstGeom>
                  </pic:spPr>
                </pic:pic>
              </a:graphicData>
            </a:graphic>
          </wp:inline>
        </w:drawing>
      </w:r>
      <w:bookmarkEnd w:id="23"/>
      <w:r>
        <w:rPr>
          <w:rFonts w:hAnsi="Arial" w:eastAsia="仿宋_GB2312"/>
          <w:b/>
          <w:color w:val="000000"/>
          <w:sz w:val="21"/>
          <w:szCs w:val="21"/>
        </w:rPr>
        <w:t>表一</w:t>
      </w:r>
    </w:p>
    <w:tbl>
      <w:tblPr>
        <w:tblStyle w:val="10"/>
        <w:tblW w:w="89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1824"/>
        <w:gridCol w:w="2137"/>
        <w:gridCol w:w="988"/>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建设项目名称</w:t>
            </w:r>
          </w:p>
        </w:tc>
        <w:tc>
          <w:tcPr>
            <w:tcW w:w="6749" w:type="dxa"/>
            <w:gridSpan w:val="5"/>
            <w:vAlign w:val="center"/>
          </w:tcPr>
          <w:p>
            <w:pPr>
              <w:spacing w:after="0" w:afterLines="0"/>
              <w:rPr>
                <w:rFonts w:ascii="宋体" w:hAnsi="宋体" w:eastAsia="宋体"/>
                <w:color w:val="000000"/>
                <w:sz w:val="21"/>
                <w:szCs w:val="21"/>
              </w:rPr>
            </w:pPr>
            <w:r>
              <w:rPr>
                <w:rFonts w:hint="eastAsia" w:ascii="宋体" w:hAnsi="宋体" w:eastAsia="宋体"/>
                <w:color w:val="000000"/>
                <w:sz w:val="21"/>
                <w:szCs w:val="21"/>
              </w:rPr>
              <w:t>山西兰花科技创业股份有限公司大阳煤矿分公司煤泥烘干系统建设项目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建设单位名称</w:t>
            </w:r>
          </w:p>
        </w:tc>
        <w:tc>
          <w:tcPr>
            <w:tcW w:w="6749" w:type="dxa"/>
            <w:gridSpan w:val="5"/>
            <w:vAlign w:val="center"/>
          </w:tcPr>
          <w:p>
            <w:pPr>
              <w:spacing w:after="0" w:afterLines="0"/>
              <w:rPr>
                <w:rFonts w:ascii="宋体" w:hAnsi="宋体" w:eastAsia="宋体"/>
                <w:color w:val="000000"/>
                <w:sz w:val="21"/>
                <w:szCs w:val="21"/>
              </w:rPr>
            </w:pPr>
            <w:r>
              <w:rPr>
                <w:rFonts w:hint="eastAsia" w:ascii="宋体" w:hAnsi="宋体" w:eastAsia="宋体"/>
                <w:color w:val="000000"/>
                <w:sz w:val="21"/>
                <w:szCs w:val="21"/>
              </w:rPr>
              <w:t>山西兰花科技创业股份有限公司大阳煤矿分公司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建设项目性质</w:t>
            </w:r>
          </w:p>
        </w:tc>
        <w:tc>
          <w:tcPr>
            <w:tcW w:w="6749" w:type="dxa"/>
            <w:gridSpan w:val="5"/>
            <w:vAlign w:val="center"/>
          </w:tcPr>
          <w:p>
            <w:pPr>
              <w:spacing w:after="0" w:afterLines="0"/>
              <w:jc w:val="both"/>
              <w:rPr>
                <w:rFonts w:ascii="宋体" w:hAnsi="宋体" w:eastAsia="宋体"/>
                <w:color w:val="000000"/>
                <w:sz w:val="21"/>
                <w:szCs w:val="21"/>
              </w:rPr>
            </w:pPr>
            <w:r>
              <w:rPr>
                <w:rFonts w:ascii="宋体" w:hAnsi="宋体" w:eastAsia="宋体"/>
                <w:color w:val="000000"/>
                <w:sz w:val="21"/>
                <w:szCs w:val="21"/>
              </w:rPr>
              <w:t>新建</w:t>
            </w:r>
            <w:r>
              <w:rPr>
                <w:rFonts w:hint="eastAsia" w:ascii="宋体" w:hAnsi="宋体" w:eastAsia="宋体"/>
                <w:color w:val="000000"/>
                <w:sz w:val="21"/>
                <w:szCs w:val="21"/>
                <w:lang w:eastAsia="zh-CN"/>
              </w:rPr>
              <w:t>√</w:t>
            </w:r>
            <w:r>
              <w:rPr>
                <w:rFonts w:ascii="宋体" w:hAnsi="宋体" w:eastAsia="宋体"/>
                <w:color w:val="000000"/>
                <w:sz w:val="21"/>
                <w:szCs w:val="21"/>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建设地点</w:t>
            </w:r>
          </w:p>
        </w:tc>
        <w:tc>
          <w:tcPr>
            <w:tcW w:w="6749" w:type="dxa"/>
            <w:gridSpan w:val="5"/>
            <w:vAlign w:val="center"/>
          </w:tcPr>
          <w:p>
            <w:pPr>
              <w:spacing w:after="0" w:afterLines="0"/>
              <w:jc w:val="both"/>
              <w:rPr>
                <w:rFonts w:ascii="宋体" w:hAnsi="宋体" w:eastAsia="宋体"/>
                <w:color w:val="000000"/>
                <w:sz w:val="21"/>
                <w:szCs w:val="21"/>
              </w:rPr>
            </w:pPr>
            <w:r>
              <w:rPr>
                <w:rFonts w:hint="eastAsia" w:ascii="宋体" w:hAnsi="宋体" w:eastAsia="宋体"/>
                <w:color w:val="000000"/>
                <w:sz w:val="21"/>
                <w:szCs w:val="21"/>
              </w:rPr>
              <w:t>山西兰花科技创业股份有限公司大阳煤矿分公司洗煤厂厂区南部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主要产品名称</w:t>
            </w:r>
          </w:p>
        </w:tc>
        <w:tc>
          <w:tcPr>
            <w:tcW w:w="6749" w:type="dxa"/>
            <w:gridSpan w:val="5"/>
            <w:vAlign w:val="center"/>
          </w:tcPr>
          <w:p>
            <w:pPr>
              <w:spacing w:after="0" w:afterLines="0"/>
              <w:jc w:val="both"/>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煤泥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设计生产能力</w:t>
            </w:r>
          </w:p>
        </w:tc>
        <w:tc>
          <w:tcPr>
            <w:tcW w:w="6749" w:type="dxa"/>
            <w:gridSpan w:val="5"/>
            <w:vAlign w:val="center"/>
          </w:tcPr>
          <w:p>
            <w:pPr>
              <w:spacing w:after="0" w:afterLines="0"/>
              <w:jc w:val="both"/>
              <w:rPr>
                <w:rFonts w:hint="eastAsia" w:ascii="宋体" w:hAnsi="宋体" w:eastAsia="宋体"/>
                <w:color w:val="000000"/>
                <w:sz w:val="21"/>
                <w:szCs w:val="21"/>
                <w:lang w:val="en-US" w:eastAsia="zh-CN"/>
              </w:rPr>
            </w:pPr>
            <w:r>
              <w:rPr>
                <w:rFonts w:hint="eastAsia" w:ascii="宋体" w:hAnsi="宋体" w:eastAsia="宋体"/>
                <w:color w:val="000000"/>
                <w:sz w:val="21"/>
                <w:szCs w:val="21"/>
                <w:lang w:eastAsia="zh-CN"/>
              </w:rPr>
              <w:t>设计年</w:t>
            </w:r>
            <w:r>
              <w:rPr>
                <w:rFonts w:hint="eastAsia" w:ascii="宋体" w:hAnsi="宋体" w:eastAsia="宋体"/>
                <w:color w:val="000000"/>
                <w:sz w:val="21"/>
                <w:szCs w:val="21"/>
              </w:rPr>
              <w:t>处理湿煤泥5.78万吨</w:t>
            </w:r>
            <w:r>
              <w:rPr>
                <w:rFonts w:hint="eastAsia" w:ascii="宋体" w:hAnsi="宋体" w:eastAsia="宋体"/>
                <w:color w:val="000000"/>
                <w:sz w:val="21"/>
                <w:szCs w:val="21"/>
                <w:lang w:val="en-US" w:eastAsia="zh-CN"/>
              </w:rPr>
              <w:t>/年</w:t>
            </w:r>
            <w:r>
              <w:rPr>
                <w:rFonts w:hint="eastAsia" w:ascii="宋体" w:hAnsi="宋体" w:eastAsia="宋体"/>
                <w:color w:val="000000"/>
                <w:sz w:val="21"/>
                <w:szCs w:val="21"/>
                <w:lang w:eastAsia="zh-CN"/>
              </w:rPr>
              <w:t>，烘干后煤泥</w:t>
            </w:r>
            <w:r>
              <w:rPr>
                <w:rFonts w:hint="eastAsia" w:ascii="宋体" w:hAnsi="宋体" w:eastAsia="宋体"/>
                <w:color w:val="000000"/>
                <w:sz w:val="21"/>
                <w:szCs w:val="21"/>
                <w:lang w:val="en-US" w:eastAsia="zh-CN"/>
              </w:rPr>
              <w:t>2.89万吨/年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实际生产能力</w:t>
            </w:r>
          </w:p>
        </w:tc>
        <w:tc>
          <w:tcPr>
            <w:tcW w:w="6749" w:type="dxa"/>
            <w:gridSpan w:val="5"/>
            <w:vAlign w:val="center"/>
          </w:tcPr>
          <w:p>
            <w:pPr>
              <w:spacing w:after="0" w:afterLines="0"/>
              <w:jc w:val="both"/>
              <w:rPr>
                <w:rFonts w:ascii="宋体" w:hAnsi="宋体" w:eastAsia="宋体"/>
                <w:color w:val="auto"/>
                <w:sz w:val="21"/>
                <w:szCs w:val="21"/>
              </w:rPr>
            </w:pPr>
            <w:r>
              <w:rPr>
                <w:rFonts w:hint="eastAsia" w:ascii="宋体" w:hAnsi="宋体" w:eastAsia="宋体"/>
                <w:color w:val="auto"/>
                <w:sz w:val="21"/>
                <w:szCs w:val="21"/>
                <w:lang w:eastAsia="zh-CN"/>
              </w:rPr>
              <w:t>年</w:t>
            </w:r>
            <w:r>
              <w:rPr>
                <w:rFonts w:hint="eastAsia" w:ascii="宋体" w:hAnsi="宋体" w:eastAsia="宋体"/>
                <w:color w:val="auto"/>
                <w:sz w:val="21"/>
                <w:szCs w:val="21"/>
              </w:rPr>
              <w:t>处理湿煤泥5.78万吨</w:t>
            </w:r>
            <w:r>
              <w:rPr>
                <w:rFonts w:hint="eastAsia" w:ascii="宋体" w:hAnsi="宋体" w:eastAsia="宋体"/>
                <w:color w:val="auto"/>
                <w:sz w:val="21"/>
                <w:szCs w:val="21"/>
                <w:lang w:val="en-US" w:eastAsia="zh-CN"/>
              </w:rPr>
              <w:t>/年</w:t>
            </w:r>
            <w:r>
              <w:rPr>
                <w:rFonts w:hint="eastAsia" w:ascii="宋体" w:hAnsi="宋体" w:eastAsia="宋体"/>
                <w:color w:val="auto"/>
                <w:sz w:val="21"/>
                <w:szCs w:val="21"/>
                <w:lang w:eastAsia="zh-CN"/>
              </w:rPr>
              <w:t>，烘干后煤泥</w:t>
            </w:r>
            <w:r>
              <w:rPr>
                <w:rFonts w:hint="eastAsia" w:ascii="宋体" w:hAnsi="宋体" w:eastAsia="宋体"/>
                <w:color w:val="auto"/>
                <w:sz w:val="21"/>
                <w:szCs w:val="21"/>
                <w:lang w:val="en-US" w:eastAsia="zh-CN"/>
              </w:rPr>
              <w:t>2.89万吨/年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建设项目环评时间</w:t>
            </w:r>
          </w:p>
        </w:tc>
        <w:tc>
          <w:tcPr>
            <w:tcW w:w="1824" w:type="dxa"/>
            <w:vAlign w:val="center"/>
          </w:tcPr>
          <w:p>
            <w:pPr>
              <w:spacing w:after="0" w:afterLines="0"/>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2017年8月</w:t>
            </w:r>
          </w:p>
        </w:tc>
        <w:tc>
          <w:tcPr>
            <w:tcW w:w="2137"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开工建设时间</w:t>
            </w:r>
          </w:p>
        </w:tc>
        <w:tc>
          <w:tcPr>
            <w:tcW w:w="2788" w:type="dxa"/>
            <w:gridSpan w:val="3"/>
            <w:vAlign w:val="center"/>
          </w:tcPr>
          <w:p>
            <w:pPr>
              <w:spacing w:after="0" w:afterLines="0"/>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2017年12月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rPr>
              <w:t>调试</w:t>
            </w:r>
            <w:r>
              <w:rPr>
                <w:rFonts w:ascii="宋体" w:hAnsi="宋体" w:eastAsia="宋体"/>
                <w:color w:val="000000"/>
                <w:sz w:val="21"/>
                <w:szCs w:val="21"/>
              </w:rPr>
              <w:t>时间</w:t>
            </w:r>
          </w:p>
        </w:tc>
        <w:tc>
          <w:tcPr>
            <w:tcW w:w="1824" w:type="dxa"/>
            <w:vAlign w:val="center"/>
          </w:tcPr>
          <w:p>
            <w:pPr>
              <w:spacing w:after="0" w:afterLines="0"/>
              <w:jc w:val="center"/>
              <w:rPr>
                <w:rFonts w:ascii="宋体" w:hAnsi="宋体" w:eastAsia="宋体"/>
                <w:color w:val="000000"/>
                <w:sz w:val="21"/>
                <w:szCs w:val="21"/>
              </w:rPr>
            </w:pPr>
            <w:r>
              <w:rPr>
                <w:rFonts w:hint="eastAsia" w:ascii="宋体" w:hAnsi="宋体" w:eastAsia="宋体"/>
                <w:color w:val="auto"/>
                <w:sz w:val="21"/>
                <w:szCs w:val="21"/>
                <w:lang w:val="en-US" w:eastAsia="zh-CN"/>
              </w:rPr>
              <w:t>2018年</w:t>
            </w:r>
            <w:r>
              <w:rPr>
                <w:rFonts w:hint="eastAsia" w:ascii="宋体" w:hAnsi="宋体" w:eastAsia="宋体"/>
                <w:color w:val="auto"/>
                <w:sz w:val="21"/>
                <w:szCs w:val="21"/>
              </w:rPr>
              <w:t>6月11日至</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月11日</w:t>
            </w:r>
          </w:p>
        </w:tc>
        <w:tc>
          <w:tcPr>
            <w:tcW w:w="2137" w:type="dxa"/>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rPr>
              <w:t>验收</w:t>
            </w:r>
            <w:r>
              <w:rPr>
                <w:rFonts w:ascii="宋体" w:hAnsi="宋体" w:eastAsia="宋体"/>
                <w:color w:val="000000"/>
                <w:sz w:val="21"/>
                <w:szCs w:val="21"/>
              </w:rPr>
              <w:t>现场监测时间</w:t>
            </w:r>
          </w:p>
        </w:tc>
        <w:tc>
          <w:tcPr>
            <w:tcW w:w="2788" w:type="dxa"/>
            <w:gridSpan w:val="3"/>
            <w:vAlign w:val="center"/>
          </w:tcPr>
          <w:p>
            <w:pPr>
              <w:spacing w:after="0" w:afterLines="0"/>
              <w:jc w:val="center"/>
              <w:rPr>
                <w:rFonts w:ascii="宋体" w:hAnsi="宋体" w:eastAsia="宋体"/>
                <w:color w:val="000000"/>
                <w:sz w:val="21"/>
                <w:szCs w:val="21"/>
              </w:rPr>
            </w:pPr>
            <w:r>
              <w:rPr>
                <w:rFonts w:hint="eastAsia" w:ascii="宋体" w:hAnsi="宋体" w:eastAsia="宋体"/>
                <w:color w:val="auto"/>
                <w:sz w:val="21"/>
                <w:szCs w:val="21"/>
              </w:rPr>
              <w:t>2018年8月4日至5日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4"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环评报告表</w:t>
            </w:r>
          </w:p>
          <w:p>
            <w:pPr>
              <w:spacing w:after="0" w:afterLines="0"/>
              <w:jc w:val="center"/>
              <w:rPr>
                <w:rFonts w:ascii="宋体" w:hAnsi="宋体" w:eastAsia="宋体"/>
                <w:color w:val="000000"/>
                <w:sz w:val="21"/>
                <w:szCs w:val="21"/>
              </w:rPr>
            </w:pPr>
            <w:r>
              <w:rPr>
                <w:rFonts w:ascii="宋体" w:hAnsi="宋体" w:eastAsia="宋体"/>
                <w:color w:val="000000"/>
                <w:sz w:val="21"/>
                <w:szCs w:val="21"/>
              </w:rPr>
              <w:t>审批部门</w:t>
            </w:r>
          </w:p>
        </w:tc>
        <w:tc>
          <w:tcPr>
            <w:tcW w:w="1824" w:type="dxa"/>
            <w:vAlign w:val="center"/>
          </w:tcPr>
          <w:p>
            <w:pPr>
              <w:spacing w:after="0" w:afterLines="0"/>
              <w:jc w:val="center"/>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晋城市环境保护局</w:t>
            </w:r>
          </w:p>
        </w:tc>
        <w:tc>
          <w:tcPr>
            <w:tcW w:w="2137"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环评报告表</w:t>
            </w:r>
          </w:p>
          <w:p>
            <w:pPr>
              <w:spacing w:after="0" w:afterLines="0"/>
              <w:jc w:val="center"/>
              <w:rPr>
                <w:rFonts w:ascii="宋体" w:hAnsi="宋体" w:eastAsia="宋体"/>
                <w:color w:val="000000"/>
                <w:sz w:val="21"/>
                <w:szCs w:val="21"/>
              </w:rPr>
            </w:pPr>
            <w:r>
              <w:rPr>
                <w:rFonts w:ascii="宋体" w:hAnsi="宋体" w:eastAsia="宋体"/>
                <w:color w:val="000000"/>
                <w:sz w:val="21"/>
                <w:szCs w:val="21"/>
              </w:rPr>
              <w:t>编制单位</w:t>
            </w:r>
          </w:p>
        </w:tc>
        <w:tc>
          <w:tcPr>
            <w:tcW w:w="2788" w:type="dxa"/>
            <w:gridSpan w:val="3"/>
            <w:vAlign w:val="center"/>
          </w:tcPr>
          <w:p>
            <w:pPr>
              <w:spacing w:after="0" w:afterLines="0"/>
              <w:rPr>
                <w:rFonts w:ascii="宋体" w:hAnsi="宋体" w:eastAsia="宋体"/>
                <w:color w:val="000000"/>
                <w:sz w:val="21"/>
                <w:szCs w:val="21"/>
              </w:rPr>
            </w:pPr>
            <w:r>
              <w:rPr>
                <w:rFonts w:hint="eastAsia" w:ascii="宋体" w:hAnsi="宋体" w:eastAsia="宋体"/>
                <w:color w:val="000000"/>
                <w:sz w:val="21"/>
                <w:szCs w:val="21"/>
              </w:rPr>
              <w:t>北京文华东方环境科技有限公司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环保设施设计单位</w:t>
            </w:r>
          </w:p>
        </w:tc>
        <w:tc>
          <w:tcPr>
            <w:tcW w:w="1824" w:type="dxa"/>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lang w:eastAsia="zh-CN"/>
              </w:rPr>
              <w:t>高平市蓝天洁能工程有限公司</w:t>
            </w:r>
          </w:p>
        </w:tc>
        <w:tc>
          <w:tcPr>
            <w:tcW w:w="2137"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环保设施施工单位</w:t>
            </w:r>
          </w:p>
        </w:tc>
        <w:tc>
          <w:tcPr>
            <w:tcW w:w="2788" w:type="dxa"/>
            <w:gridSpan w:val="3"/>
            <w:vAlign w:val="center"/>
          </w:tcPr>
          <w:p>
            <w:pPr>
              <w:spacing w:after="0" w:afterLines="0"/>
              <w:jc w:val="center"/>
              <w:rPr>
                <w:rFonts w:hint="eastAsia" w:ascii="宋体" w:hAnsi="宋体" w:eastAsia="宋体"/>
                <w:color w:val="000000"/>
                <w:sz w:val="21"/>
                <w:szCs w:val="21"/>
                <w:lang w:eastAsia="zh-CN"/>
              </w:rPr>
            </w:pPr>
            <w:r>
              <w:rPr>
                <w:rFonts w:hint="eastAsia" w:ascii="宋体" w:hAnsi="宋体" w:eastAsia="宋体"/>
                <w:color w:val="000000"/>
                <w:sz w:val="21"/>
                <w:szCs w:val="21"/>
                <w:lang w:eastAsia="zh-CN"/>
              </w:rPr>
              <w:t>高平市蓝天洁能工程有限公司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投资总概算</w:t>
            </w:r>
          </w:p>
        </w:tc>
        <w:tc>
          <w:tcPr>
            <w:tcW w:w="1824" w:type="dxa"/>
            <w:vAlign w:val="center"/>
          </w:tcPr>
          <w:p>
            <w:pPr>
              <w:spacing w:after="0" w:afterLines="0"/>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531.36万元</w:t>
            </w:r>
          </w:p>
        </w:tc>
        <w:tc>
          <w:tcPr>
            <w:tcW w:w="2137"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环保投资总概算</w:t>
            </w:r>
          </w:p>
        </w:tc>
        <w:tc>
          <w:tcPr>
            <w:tcW w:w="988" w:type="dxa"/>
            <w:vAlign w:val="center"/>
          </w:tcPr>
          <w:p>
            <w:pPr>
              <w:spacing w:after="0" w:afterLines="0"/>
              <w:jc w:val="center"/>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184万元</w:t>
            </w:r>
          </w:p>
        </w:tc>
        <w:tc>
          <w:tcPr>
            <w:tcW w:w="76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比例</w:t>
            </w:r>
          </w:p>
        </w:tc>
        <w:tc>
          <w:tcPr>
            <w:tcW w:w="1035" w:type="dxa"/>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lang w:val="en-US" w:eastAsia="zh-CN"/>
              </w:rPr>
              <w:t>34.6</w:t>
            </w:r>
            <w:r>
              <w:rPr>
                <w:rFonts w:hint="eastAsia" w:ascii="宋体" w:hAnsi="宋体" w:eastAsia="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175"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实际总概算</w:t>
            </w:r>
          </w:p>
        </w:tc>
        <w:tc>
          <w:tcPr>
            <w:tcW w:w="1824" w:type="dxa"/>
            <w:vAlign w:val="center"/>
          </w:tcPr>
          <w:p>
            <w:pPr>
              <w:spacing w:after="0" w:afterLine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531.36万元</w:t>
            </w:r>
          </w:p>
        </w:tc>
        <w:tc>
          <w:tcPr>
            <w:tcW w:w="2137"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环保投资</w:t>
            </w:r>
          </w:p>
        </w:tc>
        <w:tc>
          <w:tcPr>
            <w:tcW w:w="988" w:type="dxa"/>
            <w:vAlign w:val="center"/>
          </w:tcPr>
          <w:p>
            <w:pPr>
              <w:spacing w:after="0" w:afterLine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184万元</w:t>
            </w:r>
          </w:p>
        </w:tc>
        <w:tc>
          <w:tcPr>
            <w:tcW w:w="765" w:type="dxa"/>
            <w:vAlign w:val="center"/>
          </w:tcPr>
          <w:p>
            <w:pPr>
              <w:spacing w:after="0" w:afterLines="0"/>
              <w:jc w:val="center"/>
              <w:rPr>
                <w:rFonts w:ascii="宋体" w:hAnsi="宋体" w:eastAsia="宋体"/>
                <w:color w:val="auto"/>
                <w:sz w:val="21"/>
                <w:szCs w:val="21"/>
              </w:rPr>
            </w:pPr>
            <w:r>
              <w:rPr>
                <w:rFonts w:ascii="宋体" w:hAnsi="宋体" w:eastAsia="宋体"/>
                <w:color w:val="auto"/>
                <w:sz w:val="21"/>
                <w:szCs w:val="21"/>
              </w:rPr>
              <w:t>比例</w:t>
            </w:r>
          </w:p>
        </w:tc>
        <w:tc>
          <w:tcPr>
            <w:tcW w:w="1035" w:type="dxa"/>
            <w:vAlign w:val="center"/>
          </w:tcPr>
          <w:p>
            <w:pPr>
              <w:spacing w:after="0" w:afterLines="0"/>
              <w:jc w:val="center"/>
              <w:rPr>
                <w:rFonts w:ascii="宋体" w:hAnsi="宋体" w:eastAsia="宋体"/>
                <w:color w:val="000000"/>
                <w:sz w:val="21"/>
                <w:szCs w:val="21"/>
              </w:rPr>
            </w:pPr>
            <w:r>
              <w:rPr>
                <w:rFonts w:hint="eastAsia" w:ascii="宋体" w:hAnsi="宋体" w:eastAsia="宋体"/>
                <w:color w:val="000000"/>
                <w:sz w:val="21"/>
                <w:szCs w:val="21"/>
                <w:lang w:val="en-US" w:eastAsia="zh-CN"/>
              </w:rPr>
              <w:t>34.6</w:t>
            </w:r>
            <w:r>
              <w:rPr>
                <w:rFonts w:hint="eastAsia" w:ascii="宋体" w:hAnsi="宋体" w:eastAsia="宋体"/>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84" w:hRule="atLeast"/>
          <w:jc w:val="center"/>
        </w:trPr>
        <w:tc>
          <w:tcPr>
            <w:tcW w:w="2175" w:type="dxa"/>
            <w:vAlign w:val="center"/>
          </w:tcPr>
          <w:p>
            <w:pPr>
              <w:spacing w:after="0" w:afterLines="0"/>
              <w:jc w:val="center"/>
              <w:rPr>
                <w:rFonts w:ascii="宋体" w:hAnsi="宋体" w:eastAsia="宋体"/>
                <w:color w:val="000000"/>
                <w:sz w:val="21"/>
                <w:szCs w:val="21"/>
              </w:rPr>
            </w:pPr>
            <w:r>
              <w:rPr>
                <w:rFonts w:ascii="宋体" w:hAnsi="宋体" w:eastAsia="宋体"/>
                <w:color w:val="000000"/>
                <w:sz w:val="21"/>
                <w:szCs w:val="21"/>
              </w:rPr>
              <w:t>验收监测依据</w:t>
            </w:r>
          </w:p>
        </w:tc>
        <w:tc>
          <w:tcPr>
            <w:tcW w:w="6749" w:type="dxa"/>
            <w:gridSpan w:val="5"/>
            <w:vAlign w:val="center"/>
          </w:tcPr>
          <w:p>
            <w:pPr>
              <w:keepNext w:val="0"/>
              <w:keepLines w:val="0"/>
              <w:pageBreakBefore w:val="0"/>
              <w:widowControl/>
              <w:numPr>
                <w:ilvl w:val="0"/>
                <w:numId w:val="1"/>
              </w:numPr>
              <w:kinsoku/>
              <w:wordWrap/>
              <w:overflowPunct/>
              <w:topLinePunct w:val="0"/>
              <w:autoSpaceDE/>
              <w:autoSpaceDN/>
              <w:bidi w:val="0"/>
              <w:adjustRightInd w:val="0"/>
              <w:snapToGrid w:val="0"/>
              <w:spacing w:before="361" w:beforeLines="100" w:after="0" w:afterLines="0" w:line="360" w:lineRule="auto"/>
              <w:textAlignment w:val="auto"/>
              <w:outlineLvl w:val="9"/>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建设项目环境保护相关法律、法规和规章制度</w:t>
            </w:r>
          </w:p>
          <w:p>
            <w:pPr>
              <w:numPr>
                <w:ilvl w:val="0"/>
                <w:numId w:val="0"/>
              </w:num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eastAsia="zh-CN"/>
              </w:rPr>
              <w:t>（</w:t>
            </w:r>
            <w:r>
              <w:rPr>
                <w:rFonts w:hint="eastAsia" w:ascii="宋体" w:hAnsi="宋体" w:eastAsia="宋体"/>
                <w:color w:val="000000"/>
                <w:sz w:val="21"/>
                <w:szCs w:val="21"/>
                <w:lang w:val="en-US" w:eastAsia="zh-CN"/>
              </w:rPr>
              <w:t>1</w:t>
            </w:r>
            <w:r>
              <w:rPr>
                <w:rFonts w:hint="eastAsia" w:ascii="宋体" w:hAnsi="宋体" w:eastAsia="宋体"/>
                <w:color w:val="000000"/>
                <w:sz w:val="21"/>
                <w:szCs w:val="21"/>
                <w:lang w:eastAsia="zh-CN"/>
              </w:rPr>
              <w:t>）</w:t>
            </w:r>
            <w:r>
              <w:rPr>
                <w:rFonts w:hint="eastAsia" w:ascii="宋体" w:hAnsi="宋体" w:eastAsia="宋体"/>
                <w:color w:val="000000"/>
                <w:sz w:val="21"/>
                <w:szCs w:val="21"/>
              </w:rPr>
              <w:t>《中华人民共和国环境保护法》，（2015年1月1日起施行）；</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《中华人民共和国水污染防治法》（2018年1月1日起施行）；</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（3）</w:t>
            </w:r>
            <w:r>
              <w:rPr>
                <w:rFonts w:hint="eastAsia" w:ascii="宋体" w:hAnsi="宋体" w:eastAsia="宋体"/>
                <w:color w:val="000000"/>
                <w:sz w:val="21"/>
                <w:szCs w:val="21"/>
              </w:rPr>
              <w:t>《中华人民共和国大气污染防治法》，（ 2016年1月1日施行）；</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（4）</w:t>
            </w:r>
            <w:r>
              <w:rPr>
                <w:rFonts w:hint="eastAsia" w:ascii="宋体" w:hAnsi="宋体" w:eastAsia="宋体"/>
                <w:color w:val="000000"/>
                <w:sz w:val="21"/>
                <w:szCs w:val="21"/>
              </w:rPr>
              <w:t>《中华人民共和国环境噪声污染防治法》，（1997年3月1日起施行）；</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（5）</w:t>
            </w:r>
            <w:r>
              <w:rPr>
                <w:rFonts w:hint="eastAsia" w:ascii="宋体" w:hAnsi="宋体" w:eastAsia="宋体"/>
                <w:color w:val="000000"/>
                <w:sz w:val="21"/>
                <w:szCs w:val="21"/>
              </w:rPr>
              <w:t>《中华人民共和国固体废物污染环境防治法》，2015年4月1日起施行）；</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（6）</w:t>
            </w:r>
            <w:r>
              <w:rPr>
                <w:rFonts w:hint="eastAsia" w:ascii="宋体" w:hAnsi="宋体" w:eastAsia="宋体"/>
                <w:color w:val="000000"/>
                <w:sz w:val="21"/>
                <w:szCs w:val="21"/>
              </w:rPr>
              <w:t>《建设项目环境保护管理条例》，（2017年10月1日起施行）；</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（7）</w:t>
            </w:r>
            <w:r>
              <w:rPr>
                <w:rFonts w:hint="eastAsia" w:ascii="宋体" w:hAnsi="宋体" w:eastAsia="宋体"/>
                <w:color w:val="000000"/>
                <w:sz w:val="21"/>
                <w:szCs w:val="21"/>
              </w:rPr>
              <w:t>《山西省环境保护条例》，（2017年3月1日起施行）。</w:t>
            </w:r>
          </w:p>
          <w:p>
            <w:pPr>
              <w:spacing w:after="0" w:afterLines="0" w:line="360" w:lineRule="auto"/>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2、建设项目竣工环境保护验收技术规范</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（1）</w:t>
            </w:r>
            <w:r>
              <w:rPr>
                <w:rFonts w:hint="eastAsia" w:ascii="宋体" w:hAnsi="宋体" w:eastAsia="宋体"/>
                <w:color w:val="000000"/>
                <w:sz w:val="21"/>
                <w:szCs w:val="21"/>
              </w:rPr>
              <w:t>《关于规范建设单位自主开展建设项目竣工环境保护验收的通知》（环境保护部）；</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《建设项目环境影响评价文件审批及建设单位自主开展环境保护设施验收工作指引（试行）》；</w:t>
            </w:r>
          </w:p>
          <w:p>
            <w:pPr>
              <w:spacing w:after="0" w:afterLines="0" w:line="360" w:lineRule="auto"/>
              <w:rPr>
                <w:rFonts w:hint="eastAsia" w:ascii="宋体" w:hAnsi="宋体" w:eastAsia="宋体"/>
                <w:color w:val="000000"/>
                <w:sz w:val="21"/>
                <w:szCs w:val="21"/>
                <w:lang w:eastAsia="zh-CN"/>
              </w:rPr>
            </w:pPr>
            <w:r>
              <w:rPr>
                <w:rFonts w:hint="eastAsia" w:ascii="宋体" w:hAnsi="宋体" w:eastAsia="宋体"/>
                <w:color w:val="000000"/>
                <w:sz w:val="21"/>
                <w:szCs w:val="21"/>
                <w:lang w:val="en-US" w:eastAsia="zh-CN"/>
              </w:rPr>
              <w:t>（3）</w:t>
            </w:r>
            <w:r>
              <w:rPr>
                <w:rFonts w:hint="eastAsia" w:ascii="宋体" w:hAnsi="宋体" w:eastAsia="宋体"/>
                <w:color w:val="000000"/>
                <w:sz w:val="21"/>
                <w:szCs w:val="21"/>
              </w:rPr>
              <w:t>《建设项目竣工环境保护验收技术指南 污染影响类》（生态环境部）</w:t>
            </w:r>
            <w:r>
              <w:rPr>
                <w:rFonts w:hint="eastAsia" w:ascii="宋体" w:hAnsi="宋体" w:eastAsia="宋体"/>
                <w:color w:val="000000"/>
                <w:sz w:val="21"/>
                <w:szCs w:val="21"/>
                <w:lang w:eastAsia="zh-CN"/>
              </w:rPr>
              <w:t>；</w:t>
            </w:r>
          </w:p>
          <w:p>
            <w:pPr>
              <w:spacing w:after="0" w:afterLines="0" w:line="360" w:lineRule="auto"/>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3、建设项目环境影响报告表及其审批部门审批决定</w:t>
            </w:r>
          </w:p>
          <w:p>
            <w:pPr>
              <w:spacing w:after="0" w:afterLines="0" w:line="360" w:lineRule="auto"/>
              <w:rPr>
                <w:rFonts w:hint="eastAsia" w:ascii="宋体" w:hAnsi="宋体" w:eastAsia="宋体"/>
                <w:color w:val="000000"/>
                <w:sz w:val="21"/>
                <w:szCs w:val="21"/>
              </w:rPr>
            </w:pPr>
            <w:r>
              <w:rPr>
                <w:rFonts w:hint="eastAsia" w:ascii="宋体" w:hAnsi="宋体" w:eastAsia="宋体"/>
                <w:color w:val="000000"/>
                <w:sz w:val="21"/>
                <w:szCs w:val="21"/>
                <w:lang w:val="en-US" w:eastAsia="zh-CN"/>
              </w:rPr>
              <w:t>（1）</w:t>
            </w:r>
            <w:r>
              <w:rPr>
                <w:rFonts w:hint="eastAsia" w:ascii="宋体" w:hAnsi="宋体" w:eastAsia="宋体"/>
                <w:color w:val="000000"/>
                <w:sz w:val="21"/>
                <w:szCs w:val="21"/>
              </w:rPr>
              <w:t>《山西兰花科技创业股份有限公司大阳煤矿分公司煤泥烘干系统建设项目环境影响报告表》（北京文华东方环境科技有限公司，2017年8月）；</w:t>
            </w:r>
          </w:p>
          <w:p>
            <w:pPr>
              <w:spacing w:after="0" w:afterLines="0" w:line="360" w:lineRule="auto"/>
              <w:rPr>
                <w:rFonts w:ascii="宋体" w:hAnsi="宋体" w:eastAsia="宋体"/>
                <w:color w:val="000000"/>
                <w:sz w:val="21"/>
                <w:szCs w:val="21"/>
              </w:rPr>
            </w:pPr>
            <w:r>
              <w:rPr>
                <w:rFonts w:hint="eastAsia" w:ascii="宋体" w:hAnsi="宋体" w:eastAsia="宋体"/>
                <w:color w:val="000000"/>
                <w:sz w:val="21"/>
                <w:szCs w:val="21"/>
                <w:lang w:val="en-US" w:eastAsia="zh-CN"/>
              </w:rPr>
              <w:t>（2）</w:t>
            </w:r>
            <w:r>
              <w:rPr>
                <w:rFonts w:hint="eastAsia" w:ascii="宋体" w:hAnsi="宋体" w:eastAsia="宋体"/>
                <w:color w:val="000000"/>
                <w:sz w:val="21"/>
                <w:szCs w:val="21"/>
              </w:rPr>
              <w:t>晋城市环境保护局关于《山西兰花科技创业股份有限公司大阳煤矿分公司煤泥烘干系统建设项目环境影响报告表》的审批意见，晋市环审[2017]94号。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00" w:hRule="atLeast"/>
          <w:jc w:val="center"/>
        </w:trPr>
        <w:tc>
          <w:tcPr>
            <w:tcW w:w="2175" w:type="dxa"/>
            <w:vAlign w:val="center"/>
          </w:tcPr>
          <w:p>
            <w:pPr>
              <w:spacing w:after="0" w:afterLines="0"/>
              <w:rPr>
                <w:rFonts w:ascii="宋体" w:hAnsi="宋体" w:eastAsia="宋体"/>
                <w:color w:val="000000"/>
                <w:sz w:val="21"/>
                <w:szCs w:val="21"/>
              </w:rPr>
            </w:pPr>
            <w:r>
              <w:rPr>
                <w:rFonts w:ascii="宋体" w:hAnsi="宋体" w:eastAsia="宋体"/>
                <w:color w:val="000000"/>
                <w:sz w:val="21"/>
                <w:szCs w:val="21"/>
              </w:rPr>
              <w:t>验收监测评价标准、标号、级别、限值</w:t>
            </w:r>
          </w:p>
        </w:tc>
        <w:tc>
          <w:tcPr>
            <w:tcW w:w="6749" w:type="dxa"/>
            <w:gridSpan w:val="5"/>
            <w:vAlign w:val="top"/>
          </w:tcPr>
          <w:p>
            <w:pPr>
              <w:keepNext w:val="0"/>
              <w:keepLines w:val="0"/>
              <w:pageBreakBefore w:val="0"/>
              <w:widowControl/>
              <w:kinsoku/>
              <w:wordWrap/>
              <w:overflowPunct/>
              <w:topLinePunct w:val="0"/>
              <w:autoSpaceDE/>
              <w:autoSpaceDN/>
              <w:bidi w:val="0"/>
              <w:adjustRightInd w:val="0"/>
              <w:snapToGrid w:val="0"/>
              <w:spacing w:before="361" w:beforeLines="100" w:after="0" w:afterLines="0" w:line="360" w:lineRule="auto"/>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1、废气</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本项目热风炉排放的废气参照执行《锅炉大气污染物排放标准》（GB13271-2014）表3燃煤锅炉大气污染物特别排放限值，具体限值见表1-1：</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 xml:space="preserve">1-1  </w:t>
            </w:r>
            <w:r>
              <w:rPr>
                <w:rFonts w:hint="eastAsia" w:ascii="宋体" w:hAnsi="宋体" w:eastAsia="宋体" w:cs="宋体"/>
                <w:b/>
                <w:bCs/>
                <w:sz w:val="21"/>
                <w:szCs w:val="21"/>
              </w:rPr>
              <w:t>大气污染物排放标准值</w:t>
            </w:r>
          </w:p>
          <w:tbl>
            <w:tblPr>
              <w:tblStyle w:val="10"/>
              <w:tblW w:w="5782" w:type="dxa"/>
              <w:jc w:val="center"/>
              <w:tblInd w:w="-33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788"/>
              <w:gridCol w:w="1391"/>
              <w:gridCol w:w="1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污染物</w:t>
                  </w:r>
                </w:p>
              </w:tc>
              <w:tc>
                <w:tcPr>
                  <w:tcW w:w="1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颗粒物（mg/m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3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SO</w:t>
                  </w:r>
                  <w:r>
                    <w:rPr>
                      <w:rFonts w:hint="eastAsia" w:ascii="宋体" w:hAnsi="宋体" w:eastAsia="宋体" w:cs="宋体"/>
                      <w:sz w:val="21"/>
                      <w:szCs w:val="21"/>
                      <w:vertAlign w:val="subscript"/>
                    </w:rPr>
                    <w:t>2</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3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NO</w:t>
                  </w:r>
                  <w:r>
                    <w:rPr>
                      <w:rFonts w:hint="eastAsia" w:ascii="宋体" w:hAnsi="宋体" w:eastAsia="宋体" w:cs="宋体"/>
                      <w:sz w:val="21"/>
                      <w:szCs w:val="21"/>
                      <w:vertAlign w:val="subscript"/>
                      <w:lang w:val="en-US" w:eastAsia="zh-CN"/>
                    </w:rPr>
                    <w:t>X</w:t>
                  </w: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1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排放浓度</w:t>
                  </w:r>
                </w:p>
              </w:tc>
              <w:tc>
                <w:tcPr>
                  <w:tcW w:w="17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30</w:t>
                  </w:r>
                </w:p>
              </w:tc>
              <w:tc>
                <w:tcPr>
                  <w:tcW w:w="13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200</w:t>
                  </w:r>
                </w:p>
              </w:tc>
              <w:tc>
                <w:tcPr>
                  <w:tcW w:w="13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p>
              </w:tc>
            </w:tr>
          </w:tbl>
          <w:p>
            <w:pPr>
              <w:spacing w:after="0" w:afterLines="0"/>
              <w:rPr>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firstLine="501" w:firstLineChars="239"/>
              <w:jc w:val="left"/>
              <w:textAlignment w:val="auto"/>
              <w:outlineLvl w:val="9"/>
              <w:rPr>
                <w:rFonts w:hint="eastAsia" w:ascii="宋体" w:hAnsi="宋体" w:eastAsia="宋体" w:cs="宋体"/>
                <w:b/>
                <w:sz w:val="21"/>
                <w:szCs w:val="21"/>
              </w:rPr>
            </w:pPr>
            <w:r>
              <w:rPr>
                <w:rFonts w:hint="eastAsia" w:ascii="宋体" w:hAnsi="宋体" w:eastAsia="宋体" w:cs="宋体"/>
                <w:sz w:val="21"/>
                <w:szCs w:val="21"/>
              </w:rPr>
              <w:t>无组织排放粉尘执行《煤炭工业污染物排放标准》（GB20426-2006）中表5 无组织排放限值，具体数据见表</w:t>
            </w:r>
            <w:r>
              <w:rPr>
                <w:rFonts w:hint="eastAsia" w:ascii="宋体" w:hAnsi="宋体" w:eastAsia="宋体" w:cs="宋体"/>
                <w:sz w:val="21"/>
                <w:szCs w:val="21"/>
                <w:lang w:val="en-US" w:eastAsia="zh-CN"/>
              </w:rPr>
              <w:t>1-2</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b/>
                <w:sz w:val="21"/>
                <w:szCs w:val="21"/>
                <w:lang w:eastAsia="zh-CN"/>
              </w:rPr>
            </w:pPr>
            <w:r>
              <w:rPr>
                <w:rFonts w:hint="eastAsia" w:ascii="宋体" w:hAnsi="宋体" w:eastAsia="宋体" w:cs="宋体"/>
                <w:b/>
                <w:sz w:val="21"/>
                <w:szCs w:val="21"/>
              </w:rPr>
              <w:t>表</w:t>
            </w:r>
            <w:r>
              <w:rPr>
                <w:rFonts w:hint="eastAsia" w:ascii="宋体" w:hAnsi="宋体" w:eastAsia="宋体" w:cs="宋体"/>
                <w:b/>
                <w:sz w:val="21"/>
                <w:szCs w:val="21"/>
                <w:lang w:val="en-US" w:eastAsia="zh-CN"/>
              </w:rPr>
              <w:t xml:space="preserve">1-2  </w:t>
            </w:r>
            <w:r>
              <w:rPr>
                <w:rFonts w:hint="eastAsia" w:ascii="宋体" w:hAnsi="宋体" w:eastAsia="宋体" w:cs="宋体"/>
                <w:b/>
                <w:sz w:val="21"/>
                <w:szCs w:val="21"/>
                <w:lang w:eastAsia="zh-CN"/>
              </w:rPr>
              <w:t>煤炭工业污染物排放标准</w:t>
            </w:r>
          </w:p>
          <w:tbl>
            <w:tblPr>
              <w:tblStyle w:val="10"/>
              <w:tblW w:w="6262" w:type="dxa"/>
              <w:jc w:val="center"/>
              <w:tblInd w:w="-34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389"/>
              <w:gridCol w:w="1870"/>
              <w:gridCol w:w="1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848"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《煤炭工业污染物排放标准》（GB20426-2006）</w:t>
                  </w:r>
                </w:p>
              </w:tc>
              <w:tc>
                <w:tcPr>
                  <w:tcW w:w="13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污染物</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监控点</w:t>
                  </w:r>
                </w:p>
              </w:tc>
              <w:tc>
                <w:tcPr>
                  <w:tcW w:w="11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煤炭贮场所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848"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p>
              </w:tc>
              <w:tc>
                <w:tcPr>
                  <w:tcW w:w="13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颗粒物（mg/m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周界外浓度最高点</w:t>
                  </w:r>
                </w:p>
              </w:tc>
              <w:tc>
                <w:tcPr>
                  <w:tcW w:w="11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1.0</w:t>
                  </w: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废水</w:t>
            </w: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7"/>
              <w:textAlignment w:val="auto"/>
              <w:outlineLvl w:val="9"/>
              <w:rPr>
                <w:rFonts w:hint="eastAsia" w:ascii="宋体" w:hAnsi="宋体" w:eastAsia="宋体" w:cs="宋体"/>
                <w:sz w:val="21"/>
                <w:szCs w:val="21"/>
              </w:rPr>
            </w:pPr>
            <w:r>
              <w:rPr>
                <w:rFonts w:hint="eastAsia" w:ascii="宋体" w:hAnsi="宋体" w:eastAsia="宋体" w:cs="宋体"/>
                <w:sz w:val="21"/>
                <w:szCs w:val="21"/>
              </w:rPr>
              <w:t>生活污水：本项目不新建办公区和职工生活区，生产办公和职工生活全部依托大阳煤矿的办公和生活设施。</w:t>
            </w: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7"/>
              <w:textAlignment w:val="auto"/>
              <w:outlineLvl w:val="9"/>
              <w:rPr>
                <w:rFonts w:hint="eastAsia" w:ascii="宋体" w:hAnsi="宋体" w:eastAsia="宋体" w:cs="宋体"/>
                <w:sz w:val="21"/>
                <w:szCs w:val="21"/>
              </w:rPr>
            </w:pPr>
            <w:r>
              <w:rPr>
                <w:rFonts w:hint="eastAsia" w:ascii="宋体" w:hAnsi="宋体" w:eastAsia="宋体" w:cs="宋体"/>
                <w:sz w:val="21"/>
                <w:szCs w:val="21"/>
              </w:rPr>
              <w:t>生产废水：项目产生的废水主要为脱硫塔产生的循环水，循环水全部经废水沉淀池沉淀处理后回用，不外排。</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噪声</w:t>
            </w:r>
          </w:p>
          <w:p>
            <w:pPr>
              <w:keepNext w:val="0"/>
              <w:keepLines w:val="0"/>
              <w:pageBreakBefore w:val="0"/>
              <w:widowControl/>
              <w:kinsoku/>
              <w:wordWrap/>
              <w:overflowPunct/>
              <w:topLinePunct w:val="0"/>
              <w:autoSpaceDE/>
              <w:autoSpaceDN/>
              <w:bidi w:val="0"/>
              <w:adjustRightInd w:val="0"/>
              <w:snapToGrid w:val="0"/>
              <w:spacing w:after="0" w:line="360" w:lineRule="auto"/>
              <w:ind w:firstLine="413" w:firstLineChars="197"/>
              <w:textAlignment w:val="auto"/>
              <w:outlineLvl w:val="9"/>
              <w:rPr>
                <w:rFonts w:hint="eastAsia" w:ascii="宋体" w:hAnsi="宋体" w:eastAsia="宋体" w:cs="宋体"/>
                <w:sz w:val="21"/>
                <w:szCs w:val="21"/>
              </w:rPr>
            </w:pPr>
            <w:r>
              <w:rPr>
                <w:rFonts w:hint="eastAsia" w:ascii="宋体" w:hAnsi="宋体" w:eastAsia="宋体" w:cs="宋体"/>
                <w:sz w:val="21"/>
                <w:szCs w:val="21"/>
              </w:rPr>
              <w:t>运营期项目厂界噪声执行《工业企业厂界环境噪声排放标准》(GB12348-2008)2类标准。具体标准值见表</w:t>
            </w:r>
            <w:r>
              <w:rPr>
                <w:rFonts w:hint="eastAsia" w:ascii="宋体" w:hAnsi="宋体" w:eastAsia="宋体" w:cs="宋体"/>
                <w:sz w:val="21"/>
                <w:szCs w:val="21"/>
                <w:lang w:val="en-US" w:eastAsia="zh-CN"/>
              </w:rPr>
              <w:t>1-3</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b/>
                <w:sz w:val="21"/>
                <w:szCs w:val="21"/>
              </w:rPr>
            </w:pPr>
            <w:r>
              <w:rPr>
                <w:rFonts w:hint="eastAsia" w:ascii="宋体" w:hAnsi="宋体" w:eastAsia="宋体" w:cs="宋体"/>
                <w:b/>
                <w:sz w:val="21"/>
                <w:szCs w:val="21"/>
              </w:rPr>
              <w:t>表</w:t>
            </w:r>
            <w:r>
              <w:rPr>
                <w:rFonts w:hint="eastAsia" w:ascii="宋体" w:hAnsi="宋体" w:eastAsia="宋体" w:cs="宋体"/>
                <w:b/>
                <w:sz w:val="21"/>
                <w:szCs w:val="21"/>
                <w:lang w:val="en-US" w:eastAsia="zh-CN"/>
              </w:rPr>
              <w:t xml:space="preserve">1-3  </w:t>
            </w:r>
            <w:r>
              <w:rPr>
                <w:rFonts w:hint="eastAsia" w:ascii="宋体" w:hAnsi="宋体" w:eastAsia="宋体" w:cs="宋体"/>
                <w:b/>
                <w:sz w:val="21"/>
                <w:szCs w:val="21"/>
              </w:rPr>
              <w:t>工业企业厂界环境噪声排放标准 单位：dB（A）</w:t>
            </w:r>
          </w:p>
          <w:tbl>
            <w:tblPr>
              <w:tblStyle w:val="10"/>
              <w:tblW w:w="6480" w:type="dxa"/>
              <w:jc w:val="center"/>
              <w:tblInd w:w="-26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1601"/>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603" w:type="dxa"/>
                  <w:tcBorders>
                    <w:bottom w:val="single" w:color="auto" w:sz="2" w:space="0"/>
                    <w:right w:val="single" w:color="auto" w:sz="2" w:space="0"/>
                    <w:tl2br w:val="single" w:color="auto" w:sz="2" w:space="0"/>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 xml:space="preserve">                        时段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sz w:val="21"/>
                      <w:szCs w:val="21"/>
                    </w:rPr>
                  </w:pPr>
                  <w:r>
                    <w:rPr>
                      <w:rFonts w:hint="eastAsia" w:ascii="宋体" w:hAnsi="宋体" w:eastAsia="宋体" w:cs="宋体"/>
                      <w:sz w:val="21"/>
                      <w:szCs w:val="21"/>
                    </w:rPr>
                    <w:t>声环境功能区类别</w:t>
                  </w:r>
                </w:p>
              </w:tc>
              <w:tc>
                <w:tcPr>
                  <w:tcW w:w="1601" w:type="dxa"/>
                  <w:tcBorders>
                    <w:left w:val="single" w:color="auto" w:sz="2"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昼间</w:t>
                  </w:r>
                </w:p>
              </w:tc>
              <w:tc>
                <w:tcPr>
                  <w:tcW w:w="12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03" w:type="dxa"/>
                  <w:tcBorders>
                    <w:top w:val="single" w:color="auto" w:sz="2" w:space="0"/>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类</w:t>
                  </w:r>
                </w:p>
              </w:tc>
              <w:tc>
                <w:tcPr>
                  <w:tcW w:w="160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60</w:t>
                  </w:r>
                </w:p>
              </w:tc>
              <w:tc>
                <w:tcPr>
                  <w:tcW w:w="127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val="en-US" w:eastAsia="zh-CN"/>
                    </w:rPr>
                    <w:t>50</w:t>
                  </w: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宋体" w:hAnsi="宋体" w:eastAsia="宋体" w:cs="宋体"/>
                <w:sz w:val="21"/>
                <w:szCs w:val="21"/>
              </w:rPr>
            </w:pPr>
            <w:r>
              <w:rPr>
                <w:rFonts w:hint="eastAsia" w:ascii="宋体" w:hAnsi="宋体" w:eastAsia="宋体" w:cs="宋体"/>
                <w:sz w:val="21"/>
                <w:szCs w:val="21"/>
              </w:rPr>
              <w:t>4、固体废物</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本项目产生的一般固体废弃物应执行《一般工业固体废物贮存、处置场污染控制标准》（GB18599－2001）及 2013 年修改单要求。</w:t>
            </w:r>
          </w:p>
          <w:p>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污染物总量控制指标</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本项目热风炉废气排放口为企业主要排放口，排污许可证许可污染物排放总量指标为：</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颗粒物：1.547t/a</w:t>
            </w:r>
            <w:r>
              <w:rPr>
                <w:rFonts w:hint="eastAsia" w:ascii="宋体" w:hAnsi="宋体" w:eastAsia="宋体" w:cs="宋体"/>
                <w:sz w:val="21"/>
                <w:szCs w:val="21"/>
                <w:lang w:eastAsia="zh-CN"/>
              </w:rPr>
              <w:t>；</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SO</w:t>
            </w:r>
            <w:r>
              <w:rPr>
                <w:rFonts w:hint="eastAsia" w:ascii="宋体" w:hAnsi="宋体" w:eastAsia="宋体" w:cs="宋体"/>
                <w:sz w:val="21"/>
                <w:szCs w:val="21"/>
                <w:vertAlign w:val="subscript"/>
              </w:rPr>
              <w:t>2</w:t>
            </w:r>
            <w:r>
              <w:rPr>
                <w:rFonts w:hint="eastAsia" w:ascii="宋体" w:hAnsi="宋体" w:eastAsia="宋体" w:cs="宋体"/>
                <w:sz w:val="21"/>
                <w:szCs w:val="21"/>
              </w:rPr>
              <w:t>：4.614t/a</w:t>
            </w:r>
            <w:r>
              <w:rPr>
                <w:rFonts w:hint="eastAsia" w:ascii="宋体" w:hAnsi="宋体" w:eastAsia="宋体" w:cs="宋体"/>
                <w:sz w:val="21"/>
                <w:szCs w:val="21"/>
                <w:lang w:eastAsia="zh-CN"/>
              </w:rPr>
              <w:t>；</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NO</w:t>
            </w:r>
            <w:r>
              <w:rPr>
                <w:rFonts w:hint="eastAsia" w:ascii="宋体" w:hAnsi="宋体" w:eastAsia="宋体" w:cs="宋体"/>
                <w:sz w:val="21"/>
                <w:szCs w:val="21"/>
                <w:vertAlign w:val="subscript"/>
              </w:rPr>
              <w:t>x</w:t>
            </w:r>
            <w:r>
              <w:rPr>
                <w:rFonts w:hint="eastAsia" w:ascii="宋体" w:hAnsi="宋体" w:eastAsia="宋体" w:cs="宋体"/>
                <w:sz w:val="21"/>
                <w:szCs w:val="21"/>
              </w:rPr>
              <w:t>：15.27t/a。</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eastAsia="宋体" w:cs="宋体"/>
                <w:sz w:val="21"/>
                <w:szCs w:val="21"/>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eastAsia" w:ascii="宋体" w:hAnsi="宋体" w:eastAsia="宋体" w:cs="宋体"/>
                <w:sz w:val="21"/>
                <w:szCs w:val="21"/>
                <w:lang w:val="en-US" w:eastAsia="zh-CN"/>
              </w:rPr>
            </w:pPr>
          </w:p>
        </w:tc>
      </w:tr>
    </w:tbl>
    <w:p>
      <w:pPr>
        <w:spacing w:after="0" w:afterLines="0" w:line="360" w:lineRule="auto"/>
        <w:rPr>
          <w:rFonts w:hint="eastAsia" w:eastAsia="仿宋_GB2312"/>
          <w:b/>
          <w:color w:val="000000"/>
          <w:sz w:val="21"/>
          <w:szCs w:val="21"/>
        </w:rPr>
      </w:pPr>
      <w:r>
        <w:rPr>
          <w:rFonts w:eastAsia="仿宋_GB2312"/>
          <w:color w:val="000000"/>
          <w:sz w:val="21"/>
          <w:szCs w:val="21"/>
        </w:rPr>
        <w:br w:type="page"/>
      </w:r>
      <w:r>
        <w:rPr>
          <w:rFonts w:eastAsia="仿宋_GB2312"/>
          <w:b/>
          <w:color w:val="000000"/>
          <w:sz w:val="21"/>
          <w:szCs w:val="21"/>
        </w:rPr>
        <w:t>表二</w:t>
      </w:r>
    </w:p>
    <w:tbl>
      <w:tblPr>
        <w:tblStyle w:val="10"/>
        <w:tblW w:w="902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3" w:hRule="atLeast"/>
          <w:jc w:val="center"/>
        </w:trPr>
        <w:tc>
          <w:tcPr>
            <w:tcW w:w="9028" w:type="dxa"/>
            <w:vAlign w:val="top"/>
          </w:tcPr>
          <w:p>
            <w:pPr>
              <w:pStyle w:val="3"/>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color w:val="000000"/>
                <w:sz w:val="21"/>
                <w:szCs w:val="21"/>
                <w:lang w:eastAsia="zh-CN"/>
              </w:rPr>
            </w:pPr>
            <w:r>
              <w:rPr>
                <w:rFonts w:hint="eastAsia" w:ascii="宋体" w:hAnsi="宋体" w:eastAsia="宋体"/>
                <w:color w:val="000000"/>
                <w:sz w:val="21"/>
                <w:szCs w:val="21"/>
              </w:rPr>
              <w:t>工程建设</w:t>
            </w:r>
            <w:bookmarkStart w:id="0" w:name="_Toc20971"/>
            <w:r>
              <w:rPr>
                <w:rFonts w:hint="eastAsia"/>
                <w:color w:val="000000"/>
                <w:sz w:val="21"/>
                <w:szCs w:val="21"/>
                <w:lang w:eastAsia="zh-CN"/>
              </w:rPr>
              <w:t>内容：</w:t>
            </w:r>
          </w:p>
          <w:p>
            <w:pPr>
              <w:pStyle w:val="3"/>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Times New Roman" w:hAnsi="Times New Roman" w:eastAsia="宋体" w:cs="Times New Roman"/>
                <w:b w:val="0"/>
                <w:bCs w:val="0"/>
                <w:sz w:val="21"/>
                <w:szCs w:val="21"/>
                <w:lang w:eastAsia="zh-CN"/>
              </w:rPr>
            </w:pPr>
            <w:r>
              <w:rPr>
                <w:rFonts w:hint="eastAsia" w:ascii="Times New Roman" w:hAnsi="Times New Roman" w:cs="Times New Roman"/>
                <w:b w:val="0"/>
                <w:bCs w:val="0"/>
                <w:sz w:val="21"/>
                <w:szCs w:val="21"/>
                <w:lang w:val="en-US" w:eastAsia="zh-CN"/>
              </w:rPr>
              <w:t>1、</w:t>
            </w:r>
            <w:r>
              <w:rPr>
                <w:rFonts w:hint="eastAsia" w:ascii="Times New Roman" w:hAnsi="Times New Roman" w:cs="Times New Roman"/>
                <w:b w:val="0"/>
                <w:bCs w:val="0"/>
                <w:sz w:val="21"/>
                <w:szCs w:val="21"/>
                <w:lang w:eastAsia="zh-CN"/>
              </w:rPr>
              <w:t>项目概况</w:t>
            </w:r>
            <w:bookmarkEnd w:id="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color w:val="000000"/>
                <w:sz w:val="21"/>
                <w:szCs w:val="21"/>
              </w:rPr>
              <w:t>山西兰花科技创业股份有限公司大阳煤矿分公司</w:t>
            </w:r>
            <w:r>
              <w:rPr>
                <w:rFonts w:hint="eastAsia" w:ascii="Times New Roman" w:hAnsi="Times New Roman" w:eastAsia="宋体" w:cs="Times New Roman"/>
                <w:b w:val="0"/>
                <w:bCs w:val="0"/>
                <w:color w:val="000000"/>
                <w:sz w:val="21"/>
                <w:szCs w:val="21"/>
                <w:lang w:eastAsia="zh-CN"/>
              </w:rPr>
              <w:t>拟</w:t>
            </w:r>
            <w:r>
              <w:rPr>
                <w:rFonts w:hint="default" w:ascii="Times New Roman" w:hAnsi="Times New Roman" w:eastAsia="宋体" w:cs="Times New Roman"/>
                <w:b w:val="0"/>
                <w:bCs w:val="0"/>
                <w:color w:val="000000"/>
                <w:sz w:val="21"/>
                <w:szCs w:val="21"/>
              </w:rPr>
              <w:t>投资</w:t>
            </w:r>
            <w:r>
              <w:rPr>
                <w:rFonts w:hint="eastAsia" w:ascii="Times New Roman" w:hAnsi="Times New Roman" w:eastAsia="宋体" w:cs="Times New Roman"/>
                <w:b w:val="0"/>
                <w:bCs w:val="0"/>
                <w:color w:val="000000"/>
                <w:sz w:val="21"/>
                <w:szCs w:val="21"/>
                <w:lang w:val="en-US" w:eastAsia="zh-CN"/>
              </w:rPr>
              <w:t>531.36</w:t>
            </w:r>
            <w:r>
              <w:rPr>
                <w:rFonts w:hint="default" w:ascii="Times New Roman" w:hAnsi="Times New Roman" w:eastAsia="宋体" w:cs="Times New Roman"/>
                <w:b w:val="0"/>
                <w:bCs w:val="0"/>
                <w:color w:val="000000"/>
                <w:sz w:val="21"/>
                <w:szCs w:val="21"/>
              </w:rPr>
              <w:t>万元</w:t>
            </w:r>
            <w:r>
              <w:rPr>
                <w:rFonts w:hint="default" w:ascii="Times New Roman" w:hAnsi="Times New Roman" w:eastAsia="宋体" w:cs="Times New Roman"/>
                <w:b w:val="0"/>
                <w:bCs w:val="0"/>
                <w:sz w:val="21"/>
                <w:szCs w:val="21"/>
              </w:rPr>
              <w:t>在</w:t>
            </w:r>
            <w:r>
              <w:rPr>
                <w:rFonts w:hint="eastAsia" w:ascii="Times New Roman" w:hAnsi="Times New Roman" w:eastAsia="宋体" w:cs="Times New Roman"/>
                <w:b w:val="0"/>
                <w:bCs w:val="0"/>
                <w:sz w:val="21"/>
                <w:szCs w:val="21"/>
                <w:lang w:eastAsia="zh-CN"/>
              </w:rPr>
              <w:t>其洗煤厂厂区内新建煤泥烘干系统项目</w:t>
            </w:r>
            <w:r>
              <w:rPr>
                <w:rFonts w:hint="default" w:ascii="Times New Roman" w:hAnsi="Times New Roman" w:eastAsia="宋体" w:cs="Times New Roman"/>
                <w:b w:val="0"/>
                <w:bCs w:val="0"/>
                <w:sz w:val="21"/>
                <w:szCs w:val="21"/>
              </w:rPr>
              <w:t>，</w:t>
            </w:r>
            <w:bookmarkStart w:id="1" w:name="_Hlk496987392"/>
            <w:r>
              <w:rPr>
                <w:rFonts w:hint="eastAsia" w:ascii="Times New Roman" w:hAnsi="Times New Roman" w:eastAsia="宋体" w:cs="Times New Roman"/>
                <w:b w:val="0"/>
                <w:bCs w:val="0"/>
                <w:sz w:val="21"/>
                <w:szCs w:val="21"/>
                <w:lang w:eastAsia="zh-CN"/>
              </w:rPr>
              <w:t>受分公司委托，</w:t>
            </w:r>
            <w:r>
              <w:rPr>
                <w:rFonts w:hint="default" w:ascii="Times New Roman" w:hAnsi="Times New Roman" w:eastAsia="宋体" w:cs="Times New Roman"/>
                <w:b w:val="0"/>
                <w:bCs w:val="0"/>
                <w:sz w:val="21"/>
                <w:szCs w:val="21"/>
              </w:rPr>
              <w:t>北京文华东方环境科技有限公司</w:t>
            </w:r>
            <w:r>
              <w:rPr>
                <w:rFonts w:hint="eastAsia" w:ascii="Times New Roman" w:hAnsi="Times New Roman" w:eastAsia="宋体" w:cs="Times New Roman"/>
                <w:b w:val="0"/>
                <w:bCs w:val="0"/>
                <w:sz w:val="21"/>
                <w:szCs w:val="21"/>
                <w:lang w:eastAsia="zh-CN"/>
              </w:rPr>
              <w:t>于</w:t>
            </w:r>
            <w:r>
              <w:rPr>
                <w:rFonts w:hint="default" w:ascii="Times New Roman" w:hAnsi="Times New Roman" w:eastAsia="宋体" w:cs="Times New Roman"/>
                <w:b w:val="0"/>
                <w:bCs w:val="0"/>
                <w:sz w:val="21"/>
                <w:szCs w:val="21"/>
              </w:rPr>
              <w:t>2017年8月编制</w:t>
            </w:r>
            <w:r>
              <w:rPr>
                <w:rFonts w:hint="eastAsia" w:ascii="Times New Roman" w:hAnsi="Times New Roman" w:eastAsia="宋体" w:cs="Times New Roman"/>
                <w:b w:val="0"/>
                <w:bCs w:val="0"/>
                <w:sz w:val="21"/>
                <w:szCs w:val="21"/>
                <w:lang w:eastAsia="zh-CN"/>
              </w:rPr>
              <w:t>完成</w:t>
            </w:r>
            <w:r>
              <w:rPr>
                <w:rFonts w:hint="default" w:ascii="Times New Roman" w:hAnsi="Times New Roman" w:eastAsia="宋体" w:cs="Times New Roman"/>
                <w:b w:val="0"/>
                <w:bCs w:val="0"/>
                <w:color w:val="000000"/>
                <w:sz w:val="21"/>
                <w:szCs w:val="21"/>
              </w:rPr>
              <w:t>《山西兰花科技创业股份有限公司大阳煤矿分公司煤泥烘干系统建设项目环境影响报告表》，</w:t>
            </w:r>
            <w:r>
              <w:rPr>
                <w:rFonts w:hint="default" w:ascii="Times New Roman" w:hAnsi="Times New Roman" w:eastAsia="宋体" w:cs="Times New Roman"/>
                <w:b w:val="0"/>
                <w:bCs w:val="0"/>
                <w:sz w:val="21"/>
                <w:szCs w:val="21"/>
              </w:rPr>
              <w:t>该项目环评报告于2017年</w:t>
            </w:r>
            <w:r>
              <w:rPr>
                <w:rFonts w:hint="eastAsia" w:ascii="Times New Roman" w:hAnsi="Times New Roman" w:eastAsia="宋体" w:cs="Times New Roman"/>
                <w:b w:val="0"/>
                <w:bCs w:val="0"/>
                <w:sz w:val="21"/>
                <w:szCs w:val="21"/>
                <w:lang w:val="en-US" w:eastAsia="zh-CN"/>
              </w:rPr>
              <w:t>11</w:t>
            </w:r>
            <w:r>
              <w:rPr>
                <w:rFonts w:hint="default" w:ascii="Times New Roman" w:hAnsi="Times New Roman" w:eastAsia="宋体" w:cs="Times New Roman"/>
                <w:b w:val="0"/>
                <w:bCs w:val="0"/>
                <w:sz w:val="21"/>
                <w:szCs w:val="21"/>
              </w:rPr>
              <w:t>月</w:t>
            </w:r>
            <w:r>
              <w:rPr>
                <w:rFonts w:hint="eastAsia" w:ascii="Times New Roman" w:hAnsi="Times New Roman" w:eastAsia="宋体" w:cs="Times New Roman"/>
                <w:b w:val="0"/>
                <w:bCs w:val="0"/>
                <w:sz w:val="21"/>
                <w:szCs w:val="21"/>
                <w:lang w:val="en-US" w:eastAsia="zh-CN"/>
              </w:rPr>
              <w:t>15</w:t>
            </w:r>
            <w:r>
              <w:rPr>
                <w:rFonts w:hint="default" w:ascii="Times New Roman" w:hAnsi="Times New Roman" w:eastAsia="宋体" w:cs="Times New Roman"/>
                <w:b w:val="0"/>
                <w:bCs w:val="0"/>
                <w:sz w:val="21"/>
                <w:szCs w:val="21"/>
              </w:rPr>
              <w:t>日</w:t>
            </w:r>
            <w:bookmarkStart w:id="2" w:name="_Hlk496980272"/>
            <w:r>
              <w:rPr>
                <w:rFonts w:hint="default" w:ascii="Times New Roman" w:hAnsi="Times New Roman" w:eastAsia="宋体" w:cs="Times New Roman"/>
                <w:b w:val="0"/>
                <w:bCs w:val="0"/>
                <w:sz w:val="21"/>
                <w:szCs w:val="21"/>
              </w:rPr>
              <w:t>通过</w:t>
            </w:r>
            <w:r>
              <w:rPr>
                <w:rFonts w:hint="eastAsia" w:ascii="Times New Roman" w:hAnsi="Times New Roman" w:eastAsia="宋体" w:cs="Times New Roman"/>
                <w:b w:val="0"/>
                <w:bCs w:val="0"/>
                <w:sz w:val="21"/>
                <w:szCs w:val="21"/>
                <w:lang w:eastAsia="zh-CN"/>
              </w:rPr>
              <w:t>晋城市</w:t>
            </w:r>
            <w:r>
              <w:rPr>
                <w:rFonts w:hint="default" w:ascii="Times New Roman" w:hAnsi="Times New Roman" w:eastAsia="宋体" w:cs="Times New Roman"/>
                <w:b w:val="0"/>
                <w:bCs w:val="0"/>
                <w:sz w:val="21"/>
                <w:szCs w:val="21"/>
              </w:rPr>
              <w:t>环境保护局审批，审批文号为</w:t>
            </w:r>
            <w:r>
              <w:rPr>
                <w:rFonts w:hint="eastAsia" w:ascii="Times New Roman" w:hAnsi="Times New Roman" w:eastAsia="宋体" w:cs="Times New Roman"/>
                <w:b w:val="0"/>
                <w:bCs w:val="0"/>
                <w:sz w:val="21"/>
                <w:szCs w:val="21"/>
                <w:lang w:eastAsia="zh-CN"/>
              </w:rPr>
              <w:t>晋市环审</w:t>
            </w:r>
            <w:r>
              <w:rPr>
                <w:rFonts w:hint="default" w:ascii="Times New Roman" w:hAnsi="Times New Roman" w:eastAsia="宋体" w:cs="Times New Roman"/>
                <w:b w:val="0"/>
                <w:bCs w:val="0"/>
                <w:sz w:val="21"/>
                <w:szCs w:val="21"/>
              </w:rPr>
              <w:t>[2017]94号。</w:t>
            </w:r>
            <w:bookmarkEnd w:id="1"/>
            <w:bookmarkEnd w:id="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eastAsia="zh-CN"/>
              </w:rPr>
              <w:t>本项目于</w:t>
            </w:r>
            <w:r>
              <w:rPr>
                <w:rFonts w:hint="eastAsia" w:ascii="Times New Roman" w:hAnsi="Times New Roman" w:eastAsia="宋体" w:cs="Times New Roman"/>
                <w:b w:val="0"/>
                <w:bCs w:val="0"/>
                <w:color w:val="000000"/>
                <w:sz w:val="21"/>
                <w:szCs w:val="21"/>
                <w:lang w:val="en-US" w:eastAsia="zh-CN"/>
              </w:rPr>
              <w:t>2017年12月开工，2018年5月建设完成。</w:t>
            </w:r>
            <w:r>
              <w:rPr>
                <w:rFonts w:hint="default" w:ascii="Times New Roman" w:hAnsi="Times New Roman" w:eastAsia="宋体" w:cs="Times New Roman"/>
                <w:b w:val="0"/>
                <w:bCs w:val="0"/>
                <w:color w:val="000000"/>
                <w:sz w:val="21"/>
                <w:szCs w:val="21"/>
              </w:rPr>
              <w:t>山西兰花科技创业股份有限公司大阳煤矿分公司</w:t>
            </w:r>
            <w:r>
              <w:rPr>
                <w:rFonts w:hint="eastAsia" w:ascii="Times New Roman" w:hAnsi="Times New Roman" w:eastAsia="宋体" w:cs="Times New Roman"/>
                <w:b w:val="0"/>
                <w:bCs w:val="0"/>
                <w:color w:val="000000"/>
                <w:sz w:val="21"/>
                <w:szCs w:val="21"/>
                <w:lang w:eastAsia="zh-CN"/>
              </w:rPr>
              <w:t>于</w:t>
            </w:r>
            <w:r>
              <w:rPr>
                <w:rFonts w:hint="eastAsia" w:ascii="Times New Roman" w:hAnsi="Times New Roman" w:eastAsia="宋体" w:cs="Times New Roman"/>
                <w:b w:val="0"/>
                <w:bCs w:val="0"/>
                <w:color w:val="000000"/>
                <w:sz w:val="21"/>
                <w:szCs w:val="21"/>
                <w:lang w:val="en-US" w:eastAsia="zh-CN"/>
              </w:rPr>
              <w:t>2018年6月4日在公司网站进行了项目环保设施竣工公示，2018年6月11日进行了项目环保设施调试公示，调试时间为：6月11日</w:t>
            </w:r>
            <w:r>
              <w:rPr>
                <w:rFonts w:hint="eastAsia" w:ascii="Times New Roman" w:hAnsi="Times New Roman" w:eastAsia="宋体" w:cs="Times New Roman"/>
                <w:b w:val="0"/>
                <w:bCs w:val="0"/>
                <w:color w:val="auto"/>
                <w:sz w:val="21"/>
                <w:szCs w:val="21"/>
                <w:lang w:val="en-US" w:eastAsia="zh-CN"/>
              </w:rPr>
              <w:t>至8月11日。因本项</w:t>
            </w:r>
            <w:r>
              <w:rPr>
                <w:rFonts w:hint="eastAsia" w:ascii="Times New Roman" w:hAnsi="Times New Roman" w:eastAsia="宋体" w:cs="Times New Roman"/>
                <w:b w:val="0"/>
                <w:bCs w:val="0"/>
                <w:color w:val="000000"/>
                <w:sz w:val="21"/>
                <w:szCs w:val="21"/>
                <w:lang w:val="en-US" w:eastAsia="zh-CN"/>
              </w:rPr>
              <w:t>目新增了1个废气排放口，根据《排污许可管理办法》的有关规定，</w:t>
            </w:r>
            <w:r>
              <w:rPr>
                <w:rFonts w:hint="default" w:ascii="Times New Roman" w:hAnsi="Times New Roman" w:eastAsia="宋体" w:cs="Times New Roman"/>
                <w:b w:val="0"/>
                <w:bCs w:val="0"/>
                <w:color w:val="000000"/>
                <w:sz w:val="21"/>
                <w:szCs w:val="21"/>
              </w:rPr>
              <w:t>山西兰花科技创业股份有限公司大阳煤矿分公司</w:t>
            </w:r>
            <w:r>
              <w:rPr>
                <w:rFonts w:hint="eastAsia" w:ascii="Times New Roman" w:hAnsi="Times New Roman" w:eastAsia="宋体" w:cs="Times New Roman"/>
                <w:b w:val="0"/>
                <w:bCs w:val="0"/>
                <w:color w:val="000000"/>
                <w:sz w:val="21"/>
                <w:szCs w:val="21"/>
                <w:lang w:eastAsia="zh-CN"/>
              </w:rPr>
              <w:t>于</w:t>
            </w:r>
            <w:r>
              <w:rPr>
                <w:rFonts w:hint="eastAsia" w:ascii="Times New Roman" w:hAnsi="Times New Roman" w:eastAsia="宋体" w:cs="Times New Roman"/>
                <w:b w:val="0"/>
                <w:bCs w:val="0"/>
                <w:color w:val="000000"/>
                <w:sz w:val="21"/>
                <w:szCs w:val="21"/>
                <w:lang w:val="en-US" w:eastAsia="zh-CN"/>
              </w:rPr>
              <w:t>6月22日向晋城市环境保护局提交了变更排污许可证的申请，并于2018年7月23日取得了变更后的排污许可证，排污许可证编号：14052506100313-0500。</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eastAsia="zh-CN"/>
              </w:rPr>
              <w:t>根据《建设项目竣工环境保护验收暂行办法》的有关规定，</w:t>
            </w:r>
            <w:r>
              <w:rPr>
                <w:rFonts w:hint="default" w:ascii="Times New Roman" w:hAnsi="Times New Roman" w:eastAsia="宋体" w:cs="Times New Roman"/>
                <w:b w:val="0"/>
                <w:bCs w:val="0"/>
                <w:color w:val="000000"/>
                <w:sz w:val="21"/>
                <w:szCs w:val="21"/>
              </w:rPr>
              <w:t>山西兰花科技创业股份有限公司大阳煤矿分公司</w:t>
            </w:r>
            <w:r>
              <w:rPr>
                <w:rFonts w:hint="eastAsia" w:ascii="Times New Roman" w:hAnsi="Times New Roman" w:eastAsia="宋体" w:cs="Times New Roman"/>
                <w:b w:val="0"/>
                <w:bCs w:val="0"/>
                <w:color w:val="000000"/>
                <w:sz w:val="21"/>
                <w:szCs w:val="21"/>
                <w:lang w:eastAsia="zh-CN"/>
              </w:rPr>
              <w:t>于</w:t>
            </w:r>
            <w:r>
              <w:rPr>
                <w:rFonts w:hint="eastAsia" w:ascii="Times New Roman" w:hAnsi="Times New Roman" w:eastAsia="宋体" w:cs="Times New Roman"/>
                <w:b w:val="0"/>
                <w:bCs w:val="0"/>
                <w:color w:val="000000"/>
                <w:sz w:val="21"/>
                <w:szCs w:val="21"/>
                <w:lang w:val="en-US" w:eastAsia="zh-CN"/>
              </w:rPr>
              <w:t>2018年7月24日</w:t>
            </w:r>
            <w:r>
              <w:rPr>
                <w:rFonts w:hint="eastAsia" w:ascii="Times New Roman" w:hAnsi="Times New Roman" w:eastAsia="宋体" w:cs="Times New Roman"/>
                <w:b w:val="0"/>
                <w:bCs w:val="0"/>
                <w:color w:val="000000"/>
                <w:sz w:val="21"/>
                <w:szCs w:val="21"/>
                <w:lang w:eastAsia="zh-CN"/>
              </w:rPr>
              <w:t>启动了验收工作，本次验收工作委托山西中智瑞洁环保工程有限公司组织开展，通过采取查阅项目相关资料、现场踏勘等多种方式，对项目的环保手续履行情况、项目建成情况、环境保护设施建设情况开展了自查，确定了验收范围和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b w:val="0"/>
                <w:bCs w:val="0"/>
                <w:color w:val="000000"/>
                <w:sz w:val="21"/>
                <w:szCs w:val="21"/>
                <w:lang w:eastAsia="zh-CN"/>
              </w:rPr>
            </w:pPr>
            <w:r>
              <w:rPr>
                <w:rFonts w:hint="eastAsia" w:ascii="Times New Roman" w:hAnsi="Times New Roman" w:eastAsia="宋体" w:cs="Times New Roman"/>
                <w:b w:val="0"/>
                <w:bCs w:val="0"/>
                <w:color w:val="000000"/>
                <w:sz w:val="21"/>
                <w:szCs w:val="21"/>
                <w:lang w:eastAsia="zh-CN"/>
              </w:rPr>
              <w:t>验收范围：煤泥烘干系统建设项目。</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sz w:val="21"/>
                <w:szCs w:val="21"/>
                <w:lang w:eastAsia="zh-CN"/>
              </w:rPr>
              <w:t>验收内容：</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eastAsia="zh-CN"/>
              </w:rPr>
              <w:t>）废</w:t>
            </w:r>
            <w:r>
              <w:rPr>
                <w:rFonts w:hint="default" w:ascii="Times New Roman" w:hAnsi="Times New Roman" w:eastAsia="宋体" w:cs="Times New Roman"/>
                <w:b w:val="0"/>
                <w:bCs w:val="0"/>
                <w:color w:val="auto"/>
                <w:sz w:val="21"/>
                <w:szCs w:val="21"/>
              </w:rPr>
              <w:t>水──工程污水排放情况为检查内容</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2</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废气──工程</w:t>
            </w:r>
            <w:r>
              <w:rPr>
                <w:rFonts w:hint="eastAsia" w:ascii="Times New Roman" w:hAnsi="Times New Roman" w:eastAsia="宋体" w:cs="Times New Roman"/>
                <w:b w:val="0"/>
                <w:bCs w:val="0"/>
                <w:sz w:val="21"/>
                <w:szCs w:val="21"/>
                <w:lang w:eastAsia="zh-CN"/>
              </w:rPr>
              <w:t>热风炉</w:t>
            </w:r>
            <w:r>
              <w:rPr>
                <w:rFonts w:hint="default" w:ascii="Times New Roman" w:hAnsi="Times New Roman" w:eastAsia="宋体" w:cs="Times New Roman"/>
                <w:b w:val="0"/>
                <w:bCs w:val="0"/>
                <w:sz w:val="21"/>
                <w:szCs w:val="21"/>
              </w:rPr>
              <w:t>废气</w:t>
            </w:r>
            <w:r>
              <w:rPr>
                <w:rFonts w:hint="eastAsia" w:ascii="Times New Roman" w:hAnsi="Times New Roman" w:eastAsia="宋体" w:cs="Times New Roman"/>
                <w:b w:val="0"/>
                <w:bCs w:val="0"/>
                <w:sz w:val="21"/>
                <w:szCs w:val="21"/>
                <w:lang w:eastAsia="zh-CN"/>
              </w:rPr>
              <w:t>排放</w:t>
            </w:r>
            <w:r>
              <w:rPr>
                <w:rFonts w:hint="default" w:ascii="Times New Roman" w:hAnsi="Times New Roman" w:eastAsia="宋体" w:cs="Times New Roman"/>
                <w:b w:val="0"/>
                <w:bCs w:val="0"/>
                <w:sz w:val="21"/>
                <w:szCs w:val="21"/>
              </w:rPr>
              <w:t>情况</w:t>
            </w:r>
            <w:r>
              <w:rPr>
                <w:rFonts w:hint="eastAsia" w:ascii="Times New Roman" w:hAnsi="Times New Roman" w:eastAsia="宋体" w:cs="Times New Roman"/>
                <w:b w:val="0"/>
                <w:bCs w:val="0"/>
                <w:sz w:val="21"/>
                <w:szCs w:val="21"/>
                <w:lang w:eastAsia="zh-CN"/>
              </w:rPr>
              <w:t>及无组织颗粒物排放情况</w:t>
            </w:r>
            <w:r>
              <w:rPr>
                <w:rFonts w:hint="default" w:ascii="Times New Roman" w:hAnsi="Times New Roman" w:eastAsia="宋体" w:cs="Times New Roman"/>
                <w:b w:val="0"/>
                <w:bCs w:val="0"/>
                <w:sz w:val="21"/>
                <w:szCs w:val="21"/>
              </w:rPr>
              <w:t>，为具体监测内容</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3</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噪声──工程厂界噪声，为具体监测内容</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4</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固体废物──工程产生的固体废物</w:t>
            </w:r>
            <w:r>
              <w:rPr>
                <w:rFonts w:hint="eastAsia" w:ascii="Times New Roman" w:hAnsi="Times New Roman" w:eastAsia="宋体" w:cs="Times New Roman"/>
                <w:b w:val="0"/>
                <w:bCs w:val="0"/>
                <w:sz w:val="21"/>
                <w:szCs w:val="21"/>
                <w:lang w:eastAsia="zh-CN"/>
              </w:rPr>
              <w:t>处置情况</w:t>
            </w:r>
            <w:r>
              <w:rPr>
                <w:rFonts w:hint="default" w:ascii="Times New Roman" w:hAnsi="Times New Roman" w:eastAsia="宋体" w:cs="Times New Roman"/>
                <w:b w:val="0"/>
                <w:bCs w:val="0"/>
                <w:sz w:val="21"/>
                <w:szCs w:val="21"/>
              </w:rPr>
              <w:t>为检查内容</w:t>
            </w:r>
            <w:r>
              <w:rPr>
                <w:rFonts w:hint="eastAsia" w:ascii="Times New Roman" w:hAnsi="Times New Roman" w:eastAsia="宋体" w:cs="Times New Roman"/>
                <w:b w:val="0"/>
                <w:bCs w:val="0"/>
                <w:sz w:val="21"/>
                <w:szCs w:val="21"/>
                <w:lang w:eastAsia="zh-CN"/>
              </w:rPr>
              <w:t>；（</w:t>
            </w:r>
            <w:r>
              <w:rPr>
                <w:rFonts w:hint="eastAsia" w:ascii="Times New Roman" w:hAnsi="Times New Roman" w:eastAsia="宋体" w:cs="Times New Roman"/>
                <w:b w:val="0"/>
                <w:bCs w:val="0"/>
                <w:sz w:val="21"/>
                <w:szCs w:val="21"/>
                <w:lang w:val="en-US" w:eastAsia="zh-CN"/>
              </w:rPr>
              <w:t>5</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工程环评及环评批复落实情况、环保设施的建设运行情况、环保机构及规章制度建设情况等，为检查内容。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根据《中华人民共和国环境保护法》和</w:t>
            </w:r>
            <w:r>
              <w:rPr>
                <w:rFonts w:hint="default" w:ascii="Times New Roman" w:hAnsi="Times New Roman" w:eastAsia="宋体" w:cs="Times New Roman"/>
                <w:b w:val="0"/>
                <w:bCs w:val="0"/>
                <w:sz w:val="21"/>
                <w:szCs w:val="21"/>
              </w:rPr>
              <w:t>《建设项目环境保护管理条例》（国务院第682号令）等有关规定，</w:t>
            </w:r>
            <w:r>
              <w:rPr>
                <w:rFonts w:hint="default" w:ascii="Times New Roman" w:hAnsi="Times New Roman" w:eastAsia="宋体" w:cs="Times New Roman"/>
                <w:b w:val="0"/>
                <w:bCs w:val="0"/>
                <w:color w:val="000000"/>
                <w:sz w:val="21"/>
                <w:szCs w:val="21"/>
              </w:rPr>
              <w:t>山西兰花科技创业股份有限公司大阳煤矿分公司委</w:t>
            </w:r>
            <w:r>
              <w:rPr>
                <w:rFonts w:hint="default" w:ascii="Times New Roman" w:hAnsi="Times New Roman" w:eastAsia="宋体" w:cs="Times New Roman"/>
                <w:b w:val="0"/>
                <w:bCs w:val="0"/>
                <w:color w:val="auto"/>
                <w:sz w:val="21"/>
                <w:szCs w:val="21"/>
              </w:rPr>
              <w:t>托</w:t>
            </w:r>
            <w:bookmarkStart w:id="3" w:name="_Hlk496985984"/>
            <w:r>
              <w:rPr>
                <w:rFonts w:hint="eastAsia" w:ascii="Times New Roman" w:hAnsi="Times New Roman" w:eastAsia="宋体" w:cs="Times New Roman"/>
                <w:b w:val="0"/>
                <w:bCs w:val="0"/>
                <w:color w:val="auto"/>
                <w:sz w:val="21"/>
                <w:szCs w:val="21"/>
                <w:lang w:eastAsia="zh-CN"/>
              </w:rPr>
              <w:t>山西高创环保检测有限公司于</w:t>
            </w:r>
            <w:r>
              <w:rPr>
                <w:rFonts w:hint="default" w:ascii="Times New Roman" w:hAnsi="Times New Roman" w:eastAsia="宋体" w:cs="Times New Roman"/>
                <w:b w:val="0"/>
                <w:bCs w:val="0"/>
                <w:color w:val="auto"/>
                <w:sz w:val="21"/>
                <w:szCs w:val="21"/>
              </w:rPr>
              <w:t>201</w:t>
            </w:r>
            <w:r>
              <w:rPr>
                <w:rFonts w:hint="eastAsia" w:ascii="Times New Roman" w:hAnsi="Times New Roman" w:eastAsia="宋体"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rPr>
              <w:t>日至</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日</w:t>
            </w:r>
            <w:bookmarkEnd w:id="3"/>
            <w:r>
              <w:rPr>
                <w:rFonts w:hint="default" w:ascii="Times New Roman" w:hAnsi="Times New Roman" w:eastAsia="宋体" w:cs="Times New Roman"/>
                <w:b w:val="0"/>
                <w:bCs w:val="0"/>
                <w:color w:val="auto"/>
                <w:sz w:val="21"/>
                <w:szCs w:val="21"/>
              </w:rPr>
              <w:t>进</w:t>
            </w:r>
            <w:r>
              <w:rPr>
                <w:rFonts w:hint="default" w:ascii="Times New Roman" w:hAnsi="Times New Roman" w:eastAsia="宋体" w:cs="Times New Roman"/>
                <w:b w:val="0"/>
                <w:bCs w:val="0"/>
                <w:color w:val="000000"/>
                <w:sz w:val="21"/>
                <w:szCs w:val="21"/>
              </w:rPr>
              <w:t>行了竣工验收监测并出具监测报告。</w:t>
            </w:r>
          </w:p>
          <w:p>
            <w:pPr>
              <w:keepNext w:val="0"/>
              <w:keepLines w:val="0"/>
              <w:pageBreakBefore w:val="0"/>
              <w:widowControl/>
              <w:kinsoku/>
              <w:wordWrap/>
              <w:overflowPunct/>
              <w:topLinePunct w:val="0"/>
              <w:autoSpaceDE/>
              <w:autoSpaceDN/>
              <w:bidi w:val="0"/>
              <w:adjustRightInd w:val="0"/>
              <w:snapToGrid w:val="0"/>
              <w:spacing w:before="62" w:after="0" w:line="360" w:lineRule="auto"/>
              <w:ind w:firstLine="420" w:firstLineChars="200"/>
              <w:textAlignment w:val="auto"/>
              <w:outlineLvl w:val="9"/>
              <w:rPr>
                <w:rFonts w:ascii="宋体" w:hAnsi="宋体" w:eastAsia="宋体"/>
                <w:b w:val="0"/>
                <w:bCs w:val="0"/>
                <w:color w:val="000000"/>
                <w:sz w:val="21"/>
                <w:szCs w:val="21"/>
              </w:rPr>
            </w:pPr>
            <w:r>
              <w:rPr>
                <w:rFonts w:hint="default" w:ascii="Times New Roman" w:hAnsi="Times New Roman" w:eastAsia="宋体" w:cs="Times New Roman"/>
                <w:b w:val="0"/>
                <w:bCs w:val="0"/>
                <w:color w:val="auto"/>
                <w:sz w:val="21"/>
                <w:szCs w:val="21"/>
              </w:rPr>
              <w:t>山西</w:t>
            </w:r>
            <w:r>
              <w:rPr>
                <w:rFonts w:hint="eastAsia" w:ascii="Times New Roman" w:hAnsi="Times New Roman" w:eastAsia="宋体" w:cs="Times New Roman"/>
                <w:b w:val="0"/>
                <w:bCs w:val="0"/>
                <w:color w:val="auto"/>
                <w:sz w:val="21"/>
                <w:szCs w:val="21"/>
                <w:lang w:eastAsia="zh-CN"/>
              </w:rPr>
              <w:t>中智瑞洁环保工程有限公司</w:t>
            </w:r>
            <w:r>
              <w:rPr>
                <w:rFonts w:hint="default" w:ascii="Times New Roman" w:hAnsi="Times New Roman" w:eastAsia="宋体" w:cs="Times New Roman"/>
                <w:b w:val="0"/>
                <w:bCs w:val="0"/>
                <w:color w:val="auto"/>
                <w:sz w:val="21"/>
                <w:szCs w:val="21"/>
              </w:rPr>
              <w:t>根据</w:t>
            </w:r>
            <w:r>
              <w:rPr>
                <w:rFonts w:hint="default" w:ascii="Times New Roman" w:hAnsi="Times New Roman" w:eastAsia="宋体" w:cs="Times New Roman"/>
                <w:b w:val="0"/>
                <w:bCs w:val="0"/>
                <w:color w:val="000000"/>
                <w:sz w:val="21"/>
                <w:szCs w:val="21"/>
              </w:rPr>
              <w:t>现场调查情况和监测报告按照</w:t>
            </w:r>
            <w:r>
              <w:rPr>
                <w:rFonts w:hint="eastAsia" w:ascii="Times New Roman" w:hAnsi="Times New Roman" w:eastAsia="宋体" w:cs="Times New Roman"/>
                <w:b w:val="0"/>
                <w:bCs w:val="0"/>
                <w:color w:val="000000"/>
                <w:sz w:val="21"/>
                <w:szCs w:val="21"/>
                <w:lang w:eastAsia="zh-CN"/>
              </w:rPr>
              <w:t>生态环境部</w:t>
            </w:r>
            <w:r>
              <w:rPr>
                <w:rFonts w:hint="default" w:ascii="Times New Roman" w:hAnsi="Times New Roman" w:eastAsia="宋体" w:cs="Times New Roman"/>
                <w:b w:val="0"/>
                <w:bCs w:val="0"/>
                <w:sz w:val="21"/>
                <w:szCs w:val="21"/>
              </w:rPr>
              <w:t>《建设项目竣工环境保护验收技术指南 污染影响类》</w:t>
            </w:r>
            <w:r>
              <w:rPr>
                <w:rFonts w:hint="eastAsia" w:ascii="Times New Roman" w:hAnsi="Times New Roman" w:eastAsia="宋体" w:cs="Times New Roman"/>
                <w:b w:val="0"/>
                <w:bCs w:val="0"/>
                <w:sz w:val="21"/>
                <w:szCs w:val="21"/>
                <w:lang w:eastAsia="zh-CN"/>
              </w:rPr>
              <w:t>要求</w:t>
            </w:r>
            <w:r>
              <w:rPr>
                <w:rFonts w:hint="default" w:ascii="Times New Roman" w:hAnsi="Times New Roman" w:eastAsia="宋体" w:cs="Times New Roman"/>
                <w:b w:val="0"/>
                <w:bCs w:val="0"/>
                <w:color w:val="000000"/>
                <w:sz w:val="21"/>
                <w:szCs w:val="21"/>
              </w:rPr>
              <w:t>编制完成</w:t>
            </w:r>
            <w:r>
              <w:rPr>
                <w:rFonts w:hint="eastAsia" w:ascii="Times New Roman" w:hAnsi="Times New Roman" w:eastAsia="宋体" w:cs="Times New Roman"/>
                <w:b w:val="0"/>
                <w:bCs w:val="0"/>
                <w:color w:val="000000"/>
                <w:sz w:val="21"/>
                <w:szCs w:val="21"/>
                <w:lang w:eastAsia="zh-CN"/>
              </w:rPr>
              <w:t>该项目的</w:t>
            </w:r>
            <w:r>
              <w:rPr>
                <w:rFonts w:hint="default" w:ascii="Times New Roman" w:hAnsi="Times New Roman" w:eastAsia="宋体" w:cs="Times New Roman"/>
                <w:b w:val="0"/>
                <w:bCs w:val="0"/>
                <w:color w:val="000000"/>
                <w:sz w:val="21"/>
                <w:szCs w:val="21"/>
              </w:rPr>
              <w:t>竣工环境保护验收</w:t>
            </w:r>
            <w:r>
              <w:rPr>
                <w:rFonts w:hint="eastAsia" w:ascii="Times New Roman" w:hAnsi="Times New Roman" w:eastAsia="宋体" w:cs="Times New Roman"/>
                <w:b w:val="0"/>
                <w:bCs w:val="0"/>
                <w:color w:val="000000"/>
                <w:sz w:val="21"/>
                <w:szCs w:val="21"/>
                <w:lang w:eastAsia="zh-CN"/>
              </w:rPr>
              <w:t>报告</w:t>
            </w:r>
            <w:r>
              <w:rPr>
                <w:rFonts w:hint="default" w:ascii="Times New Roman" w:hAnsi="Times New Roman" w:eastAsia="宋体" w:cs="Times New Roman"/>
                <w:b w:val="0"/>
                <w:bCs w:val="0"/>
                <w:color w:val="000000"/>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sz w:val="21"/>
                <w:szCs w:val="21"/>
                <w:lang w:val="en-US" w:eastAsia="zh-CN"/>
              </w:rPr>
            </w:pPr>
            <w:bookmarkStart w:id="4" w:name="_Toc496979004"/>
            <w:bookmarkStart w:id="5" w:name="_Toc504390931"/>
            <w:bookmarkStart w:id="6" w:name="_Toc497001440"/>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生产规模及产品方案</w:t>
            </w:r>
            <w:bookmarkEnd w:id="4"/>
            <w:bookmarkEnd w:id="5"/>
            <w:bookmarkEnd w:id="6"/>
            <w:bookmarkStart w:id="7" w:name="_Toc50439093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本项目年</w:t>
            </w:r>
            <w:r>
              <w:rPr>
                <w:rFonts w:hint="eastAsia" w:ascii="Times New Roman" w:hAnsi="Times New Roman" w:eastAsia="宋体" w:cs="Times New Roman"/>
                <w:kern w:val="2"/>
                <w:sz w:val="21"/>
                <w:szCs w:val="21"/>
                <w:lang w:val="en-US" w:eastAsia="zh-CN" w:bidi="ar-SA"/>
              </w:rPr>
              <w:t>处理湿煤泥5.78万吨（含水率30%），经烘干后产品方案见下表</w:t>
            </w:r>
            <w:bookmarkEnd w:id="7"/>
            <w:bookmarkStart w:id="8" w:name="_Toc497001441"/>
            <w:bookmarkStart w:id="9" w:name="_Toc496979005"/>
            <w:r>
              <w:rPr>
                <w:rFonts w:hint="eastAsia" w:ascii="Times New Roman" w:hAnsi="Times New Roman" w:eastAsia="宋体" w:cs="Times New Roman"/>
                <w:kern w:val="2"/>
                <w:sz w:val="21"/>
                <w:szCs w:val="21"/>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center"/>
              <w:textAlignment w:val="auto"/>
              <w:outlineLvl w:val="9"/>
              <w:rPr>
                <w:rFonts w:hint="eastAsia" w:ascii="Times New Roman" w:hAnsi="Times New Roman" w:eastAsia="宋体" w:cs="Times New Roman"/>
                <w:b/>
                <w:bCs/>
                <w:sz w:val="21"/>
                <w:szCs w:val="21"/>
                <w:lang w:eastAsia="zh-CN"/>
              </w:rPr>
            </w:pPr>
            <w:bookmarkStart w:id="10" w:name="_Toc504390933"/>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2-1 </w:t>
            </w:r>
            <w:r>
              <w:rPr>
                <w:rFonts w:hint="default"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lang w:eastAsia="zh-CN"/>
              </w:rPr>
              <w:t>本项目产品方案</w:t>
            </w:r>
          </w:p>
          <w:tbl>
            <w:tblPr>
              <w:tblStyle w:val="10"/>
              <w:tblW w:w="6916" w:type="dxa"/>
              <w:jc w:val="center"/>
              <w:tblInd w:w="-37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3064"/>
              <w:gridCol w:w="23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15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序号</w:t>
                  </w:r>
                </w:p>
              </w:tc>
              <w:tc>
                <w:tcPr>
                  <w:tcW w:w="30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项目</w:t>
                  </w:r>
                </w:p>
              </w:tc>
              <w:tc>
                <w:tcPr>
                  <w:tcW w:w="2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5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w:t>
                  </w:r>
                </w:p>
              </w:tc>
              <w:tc>
                <w:tcPr>
                  <w:tcW w:w="30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产品产量（万</w:t>
                  </w:r>
                  <w:r>
                    <w:rPr>
                      <w:rFonts w:hint="eastAsia" w:ascii="Times New Roman" w:hAnsi="Times New Roman" w:eastAsia="宋体" w:cs="Times New Roman"/>
                      <w:sz w:val="18"/>
                      <w:szCs w:val="18"/>
                      <w:lang w:val="en-US" w:eastAsia="zh-CN"/>
                    </w:rPr>
                    <w:t>t/a</w:t>
                  </w:r>
                  <w:r>
                    <w:rPr>
                      <w:rFonts w:hint="eastAsia" w:ascii="Times New Roman" w:hAnsi="Times New Roman" w:eastAsia="宋体" w:cs="Times New Roman"/>
                      <w:sz w:val="18"/>
                      <w:szCs w:val="18"/>
                      <w:lang w:eastAsia="zh-CN"/>
                    </w:rPr>
                    <w:t>）</w:t>
                  </w:r>
                </w:p>
              </w:tc>
              <w:tc>
                <w:tcPr>
                  <w:tcW w:w="2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p>
              </w:tc>
              <w:tc>
                <w:tcPr>
                  <w:tcW w:w="30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产品水分</w:t>
                  </w:r>
                </w:p>
              </w:tc>
              <w:tc>
                <w:tcPr>
                  <w:tcW w:w="2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53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w:t>
                  </w:r>
                </w:p>
              </w:tc>
              <w:tc>
                <w:tcPr>
                  <w:tcW w:w="306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产品粒度</w:t>
                  </w:r>
                </w:p>
              </w:tc>
              <w:tc>
                <w:tcPr>
                  <w:tcW w:w="231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≤0.5mm</w:t>
                  </w:r>
                </w:p>
              </w:tc>
            </w:tr>
            <w:bookmarkEnd w:id="8"/>
            <w:bookmarkEnd w:id="9"/>
            <w:bookmarkEnd w:id="10"/>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imes New Roman" w:hAnsi="Times New Roman" w:eastAsia="宋体" w:cs="Times New Roman"/>
                <w:sz w:val="21"/>
                <w:szCs w:val="21"/>
                <w:lang w:val="en-US" w:eastAsia="zh-CN"/>
              </w:rPr>
            </w:pPr>
            <w:bookmarkStart w:id="11" w:name="_Toc504390934"/>
            <w:bookmarkStart w:id="12" w:name="_Toc496979006"/>
            <w:bookmarkStart w:id="13" w:name="_Toc497001442"/>
            <w:r>
              <w:rPr>
                <w:rFonts w:hint="eastAsia" w:ascii="Times New Roman" w:hAnsi="Times New Roman" w:eastAsia="宋体" w:cs="Times New Roman"/>
                <w:sz w:val="21"/>
                <w:szCs w:val="21"/>
                <w:lang w:val="en-US" w:eastAsia="zh-CN"/>
              </w:rPr>
              <w:t>3、工程组成及建设内容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（1）主要建设内容</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本项目环评及其批复决定建设的主要</w:t>
            </w:r>
            <w:r>
              <w:rPr>
                <w:rFonts w:hint="eastAsia" w:ascii="Times New Roman" w:hAnsi="Times New Roman" w:eastAsia="宋体" w:cs="Times New Roman"/>
                <w:sz w:val="21"/>
                <w:szCs w:val="21"/>
                <w:lang w:eastAsia="zh-CN"/>
              </w:rPr>
              <w:t>工程</w:t>
            </w:r>
            <w:r>
              <w:rPr>
                <w:rFonts w:hint="default" w:ascii="Times New Roman" w:hAnsi="Times New Roman" w:eastAsia="宋体" w:cs="Times New Roman"/>
                <w:sz w:val="21"/>
                <w:szCs w:val="21"/>
              </w:rPr>
              <w:t>内容见表</w:t>
            </w:r>
            <w:r>
              <w:rPr>
                <w:rFonts w:hint="eastAsia" w:ascii="Times New Roman" w:hAnsi="Times New Roman" w:eastAsia="宋体" w:cs="Times New Roman"/>
                <w:sz w:val="21"/>
                <w:szCs w:val="21"/>
                <w:lang w:val="en-US" w:eastAsia="zh-CN"/>
              </w:rPr>
              <w:t>2-2</w:t>
            </w:r>
            <w:r>
              <w:rPr>
                <w:rFonts w:hint="eastAsia" w:ascii="Times New Roman" w:hAnsi="Times New Roman" w:eastAsia="宋体" w:cs="Times New Roman"/>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2-2  </w:t>
            </w:r>
            <w:r>
              <w:rPr>
                <w:rFonts w:hint="default" w:ascii="Times New Roman" w:hAnsi="Times New Roman" w:eastAsia="宋体" w:cs="Times New Roman"/>
                <w:b/>
                <w:bCs/>
                <w:sz w:val="21"/>
                <w:szCs w:val="21"/>
              </w:rPr>
              <w:t>建设项目组成一览表</w:t>
            </w:r>
          </w:p>
          <w:tbl>
            <w:tblPr>
              <w:tblStyle w:val="10"/>
              <w:tblW w:w="894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352"/>
              <w:gridCol w:w="1"/>
              <w:gridCol w:w="5043"/>
              <w:gridCol w:w="1"/>
              <w:gridCol w:w="566"/>
              <w:gridCol w:w="1"/>
              <w:gridCol w:w="1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201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工程名称</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工程内容</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备注</w:t>
                  </w:r>
                </w:p>
              </w:tc>
              <w:tc>
                <w:tcPr>
                  <w:tcW w:w="132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实际建设与环评相符性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主体工程</w:t>
                  </w: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热风炉</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一台</w:t>
                  </w:r>
                  <w:r>
                    <w:rPr>
                      <w:rFonts w:hint="eastAsia" w:ascii="Times New Roman" w:hAnsi="Times New Roman" w:eastAsia="宋体" w:cs="Times New Roman"/>
                      <w:color w:val="000000"/>
                      <w:sz w:val="18"/>
                      <w:szCs w:val="18"/>
                      <w:lang w:val="en-US" w:eastAsia="zh-CN"/>
                    </w:rPr>
                    <w:t>600×10</w:t>
                  </w:r>
                  <w:r>
                    <w:rPr>
                      <w:rFonts w:hint="eastAsia" w:ascii="Times New Roman" w:hAnsi="Times New Roman" w:eastAsia="宋体" w:cs="Times New Roman"/>
                      <w:color w:val="000000"/>
                      <w:sz w:val="18"/>
                      <w:szCs w:val="18"/>
                      <w:vertAlign w:val="superscript"/>
                      <w:lang w:val="en-US" w:eastAsia="zh-CN"/>
                    </w:rPr>
                    <w:t>4</w:t>
                  </w:r>
                  <w:r>
                    <w:rPr>
                      <w:rFonts w:hint="eastAsia" w:ascii="Times New Roman" w:hAnsi="Times New Roman" w:eastAsia="宋体" w:cs="Times New Roman"/>
                      <w:color w:val="000000"/>
                      <w:sz w:val="18"/>
                      <w:szCs w:val="18"/>
                      <w:lang w:val="en-US" w:eastAsia="zh-CN"/>
                    </w:rPr>
                    <w:t>kcal/h</w:t>
                  </w:r>
                  <w:r>
                    <w:rPr>
                      <w:rFonts w:hint="eastAsia" w:asciiTheme="minorEastAsia" w:hAnsiTheme="minorEastAsia" w:eastAsiaTheme="minorEastAsia" w:cstheme="minorEastAsia"/>
                      <w:sz w:val="18"/>
                      <w:szCs w:val="18"/>
                    </w:rPr>
                    <w:t>热风炉，主要为滚筒干燥机提供热风</w:t>
                  </w:r>
                </w:p>
              </w:tc>
              <w:tc>
                <w:tcPr>
                  <w:tcW w:w="567"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新建</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滚筒式干燥机</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一台</w:t>
                  </w:r>
                  <w:r>
                    <w:rPr>
                      <w:rFonts w:hint="eastAsia" w:ascii="Times New Roman" w:hAnsi="Times New Roman" w:eastAsia="宋体" w:cs="Times New Roman"/>
                      <w:color w:val="000000"/>
                      <w:sz w:val="18"/>
                      <w:szCs w:val="18"/>
                      <w:lang w:val="en-US" w:eastAsia="zh-CN"/>
                    </w:rPr>
                    <w:t>MG2518</w:t>
                  </w:r>
                  <w:r>
                    <w:rPr>
                      <w:rFonts w:hint="eastAsia" w:asciiTheme="minorEastAsia" w:hAnsiTheme="minorEastAsia" w:eastAsiaTheme="minorEastAsia" w:cstheme="minorEastAsia"/>
                      <w:kern w:val="0"/>
                      <w:sz w:val="18"/>
                      <w:szCs w:val="18"/>
                    </w:rPr>
                    <w:t>式滚筒式干燥机，滚筒转速约</w:t>
                  </w:r>
                  <w:r>
                    <w:rPr>
                      <w:rFonts w:hint="eastAsia" w:ascii="Times New Roman" w:hAnsi="Times New Roman" w:eastAsia="宋体" w:cs="Times New Roman"/>
                      <w:color w:val="000000"/>
                      <w:sz w:val="18"/>
                      <w:szCs w:val="18"/>
                      <w:lang w:val="en-US" w:eastAsia="zh-CN"/>
                    </w:rPr>
                    <w:t>3～5.5r/min</w:t>
                  </w:r>
                  <w:r>
                    <w:rPr>
                      <w:rFonts w:hint="eastAsia" w:asciiTheme="minorEastAsia" w:hAnsiTheme="minorEastAsia" w:eastAsiaTheme="minorEastAsia" w:cstheme="minorEastAsia"/>
                      <w:kern w:val="0"/>
                      <w:sz w:val="18"/>
                      <w:szCs w:val="18"/>
                    </w:rPr>
                    <w:t>，倾斜度为</w:t>
                  </w:r>
                  <w:r>
                    <w:rPr>
                      <w:rFonts w:hint="eastAsia" w:ascii="Times New Roman" w:hAnsi="Times New Roman" w:eastAsia="宋体" w:cs="Times New Roman"/>
                      <w:color w:val="000000"/>
                      <w:sz w:val="18"/>
                      <w:szCs w:val="18"/>
                      <w:lang w:val="en-US" w:eastAsia="zh-CN"/>
                    </w:rPr>
                    <w:t>4%</w:t>
                  </w:r>
                  <w:r>
                    <w:rPr>
                      <w:rFonts w:hint="eastAsia" w:asciiTheme="minorEastAsia" w:hAnsiTheme="minorEastAsia" w:eastAsiaTheme="minorEastAsia" w:cstheme="minorEastAsia"/>
                      <w:kern w:val="0"/>
                      <w:sz w:val="18"/>
                      <w:szCs w:val="18"/>
                    </w:rPr>
                    <w:t>，主要对压滤煤饼进行干燥。</w:t>
                  </w:r>
                </w:p>
              </w:tc>
              <w:tc>
                <w:tcPr>
                  <w:tcW w:w="567"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jc w:val="center"/>
              </w:trPr>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储运工程</w:t>
                  </w: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煤泥输送系统</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湿煤泥通过管道从煤泥池输送至压滤车间，通过快速隔膜压滤机脱水，脱水后的煤泥经双螺旋输送机运输至滚筒干燥机干燥，管道长度约</w:t>
                  </w:r>
                  <w:r>
                    <w:rPr>
                      <w:rFonts w:hint="eastAsia" w:ascii="Times New Roman" w:hAnsi="Times New Roman" w:eastAsia="宋体" w:cs="Times New Roman"/>
                      <w:color w:val="000000"/>
                      <w:sz w:val="18"/>
                      <w:szCs w:val="18"/>
                      <w:lang w:val="en-US" w:eastAsia="zh-CN"/>
                    </w:rPr>
                    <w:t>75m</w:t>
                  </w:r>
                  <w:r>
                    <w:rPr>
                      <w:rFonts w:hint="eastAsia" w:asciiTheme="minorEastAsia" w:hAnsiTheme="minorEastAsia" w:eastAsiaTheme="minorEastAsia" w:cstheme="minorEastAsia"/>
                      <w:sz w:val="18"/>
                      <w:szCs w:val="18"/>
                    </w:rPr>
                    <w:t>。</w:t>
                  </w:r>
                </w:p>
              </w:tc>
              <w:tc>
                <w:tcPr>
                  <w:tcW w:w="567"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新建</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产品输送系统</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干燥后的煤泥经刮板输送机和胶带输送机入仓后汽运至末煤储煤场，输送机在全封闭车间内，刮板输送机长</w:t>
                  </w:r>
                  <w:r>
                    <w:rPr>
                      <w:rFonts w:hint="eastAsia" w:ascii="Times New Roman" w:hAnsi="Times New Roman" w:eastAsia="宋体" w:cs="Times New Roman"/>
                      <w:color w:val="000000"/>
                      <w:sz w:val="18"/>
                      <w:szCs w:val="18"/>
                      <w:lang w:val="en-US" w:eastAsia="zh-CN"/>
                    </w:rPr>
                    <w:t>6.5m</w:t>
                  </w:r>
                  <w:r>
                    <w:rPr>
                      <w:rFonts w:hint="eastAsia" w:asciiTheme="minorEastAsia" w:hAnsiTheme="minorEastAsia" w:eastAsiaTheme="minorEastAsia" w:cstheme="minorEastAsia"/>
                      <w:sz w:val="18"/>
                      <w:szCs w:val="18"/>
                    </w:rPr>
                    <w:t>，胶带输送机长</w:t>
                  </w:r>
                  <w:r>
                    <w:rPr>
                      <w:rFonts w:hint="eastAsia" w:ascii="Times New Roman" w:hAnsi="Times New Roman" w:eastAsia="宋体" w:cs="Times New Roman"/>
                      <w:color w:val="000000"/>
                      <w:sz w:val="18"/>
                      <w:szCs w:val="18"/>
                      <w:lang w:val="en-US" w:eastAsia="zh-CN"/>
                    </w:rPr>
                    <w:t>36m</w:t>
                  </w:r>
                  <w:r>
                    <w:rPr>
                      <w:rFonts w:hint="eastAsia" w:asciiTheme="minorEastAsia" w:hAnsiTheme="minorEastAsia" w:eastAsiaTheme="minorEastAsia" w:cstheme="minorEastAsia"/>
                      <w:sz w:val="18"/>
                      <w:szCs w:val="18"/>
                    </w:rPr>
                    <w:t>。</w:t>
                  </w:r>
                </w:p>
              </w:tc>
              <w:tc>
                <w:tcPr>
                  <w:tcW w:w="567"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产品堆</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末煤堆场占地面积约</w:t>
                  </w:r>
                  <w:r>
                    <w:rPr>
                      <w:rFonts w:hint="eastAsia" w:ascii="Times New Roman" w:hAnsi="Times New Roman" w:eastAsia="宋体" w:cs="Times New Roman"/>
                      <w:color w:val="000000"/>
                      <w:sz w:val="18"/>
                      <w:szCs w:val="18"/>
                      <w:lang w:val="en-US" w:eastAsia="zh-CN"/>
                    </w:rPr>
                    <w:t>1.12hm</w:t>
                  </w:r>
                  <w:r>
                    <w:rPr>
                      <w:rFonts w:hint="eastAsia" w:ascii="Times New Roman" w:hAnsi="Times New Roman" w:eastAsia="宋体" w:cs="Times New Roman"/>
                      <w:color w:val="000000"/>
                      <w:sz w:val="18"/>
                      <w:szCs w:val="18"/>
                      <w:vertAlign w:val="superscript"/>
                      <w:lang w:val="en-US" w:eastAsia="zh-CN"/>
                    </w:rPr>
                    <w:t>2</w:t>
                  </w:r>
                  <w:r>
                    <w:rPr>
                      <w:rFonts w:hint="eastAsia" w:asciiTheme="minorEastAsia" w:hAnsiTheme="minorEastAsia" w:eastAsiaTheme="minorEastAsia" w:cstheme="minorEastAsia"/>
                      <w:sz w:val="18"/>
                      <w:szCs w:val="18"/>
                    </w:rPr>
                    <w:t>（储煤量</w:t>
                  </w:r>
                  <w:r>
                    <w:rPr>
                      <w:rFonts w:hint="eastAsia" w:ascii="Times New Roman" w:hAnsi="Times New Roman" w:eastAsia="宋体" w:cs="Times New Roman"/>
                      <w:color w:val="000000"/>
                      <w:sz w:val="18"/>
                      <w:szCs w:val="18"/>
                      <w:lang w:val="en-US" w:eastAsia="zh-CN"/>
                    </w:rPr>
                    <w:t>6</w:t>
                  </w:r>
                  <w:r>
                    <w:rPr>
                      <w:rFonts w:hint="eastAsia" w:asciiTheme="minorEastAsia" w:hAnsiTheme="minorEastAsia" w:eastAsiaTheme="minorEastAsia" w:cstheme="minorEastAsia"/>
                      <w:sz w:val="18"/>
                      <w:szCs w:val="18"/>
                    </w:rPr>
                    <w:t>万吨），可以储存干燥后的煤泥，四周设置挡风抑尘网+洒水喷头，场内设</w:t>
                  </w:r>
                  <w:r>
                    <w:rPr>
                      <w:rFonts w:hint="eastAsia" w:ascii="Times New Roman" w:hAnsi="Times New Roman" w:eastAsia="宋体" w:cs="Times New Roman"/>
                      <w:color w:val="000000"/>
                      <w:sz w:val="18"/>
                      <w:szCs w:val="18"/>
                      <w:lang w:val="en-US" w:eastAsia="zh-CN"/>
                    </w:rPr>
                    <w:t>6</w:t>
                  </w:r>
                  <w:r>
                    <w:rPr>
                      <w:rFonts w:hint="eastAsia" w:asciiTheme="minorEastAsia" w:hAnsiTheme="minorEastAsia" w:eastAsiaTheme="minorEastAsia" w:cstheme="minorEastAsia"/>
                      <w:sz w:val="18"/>
                      <w:szCs w:val="18"/>
                    </w:rPr>
                    <w:t>台射雾器喷雾降尘。</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依托</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辅助工程</w:t>
                  </w: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办公楼</w:t>
                  </w:r>
                </w:p>
              </w:tc>
              <w:tc>
                <w:tcPr>
                  <w:tcW w:w="5044"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本项目劳动定员</w:t>
                  </w:r>
                  <w:r>
                    <w:rPr>
                      <w:rFonts w:hint="eastAsia" w:ascii="Times New Roman" w:hAnsi="Times New Roman" w:eastAsia="宋体" w:cs="Times New Roman"/>
                      <w:color w:val="000000"/>
                      <w:sz w:val="18"/>
                      <w:szCs w:val="18"/>
                      <w:lang w:val="en-US" w:eastAsia="zh-CN"/>
                    </w:rPr>
                    <w:t>24</w:t>
                  </w:r>
                  <w:r>
                    <w:rPr>
                      <w:rFonts w:hint="eastAsia" w:asciiTheme="minorEastAsia" w:hAnsiTheme="minorEastAsia" w:eastAsiaTheme="minorEastAsia" w:cstheme="minorEastAsia"/>
                      <w:sz w:val="18"/>
                      <w:szCs w:val="18"/>
                    </w:rPr>
                    <w:t>人，办公及生活均依托煤矿的生活设施和办公楼，本项目不新建办公生活设施。</w:t>
                  </w:r>
                </w:p>
              </w:tc>
              <w:tc>
                <w:tcPr>
                  <w:tcW w:w="567"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依托</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生活区</w:t>
                  </w:r>
                </w:p>
              </w:tc>
              <w:tc>
                <w:tcPr>
                  <w:tcW w:w="5044"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p>
              </w:tc>
              <w:tc>
                <w:tcPr>
                  <w:tcW w:w="567"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公用工程</w:t>
                  </w: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给水</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项目生活用水取自厂区内的深井，生产用水来自矿井水处理站的出水</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依托</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排水</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生产用水由车间内集水池收集，闭路循环，不外排</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新建</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本项目排水依托大阳煤矿</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9"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供电</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接自煤矿</w:t>
                  </w:r>
                  <w:r>
                    <w:rPr>
                      <w:rFonts w:hint="eastAsia" w:ascii="Times New Roman" w:hAnsi="Times New Roman" w:eastAsia="宋体" w:cs="Times New Roman"/>
                      <w:color w:val="000000"/>
                      <w:sz w:val="18"/>
                      <w:szCs w:val="18"/>
                      <w:lang w:val="en-US" w:eastAsia="zh-CN"/>
                    </w:rPr>
                    <w:t>35KV</w:t>
                  </w:r>
                  <w:r>
                    <w:rPr>
                      <w:rFonts w:hint="eastAsia" w:asciiTheme="minorEastAsia" w:hAnsiTheme="minorEastAsia" w:eastAsiaTheme="minorEastAsia" w:cstheme="minorEastAsia"/>
                      <w:sz w:val="18"/>
                      <w:szCs w:val="18"/>
                    </w:rPr>
                    <w:t>地面变电所</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依托</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供暖</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车间内不供暖</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新建</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66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车间地</w:t>
                  </w:r>
                  <w:r>
                    <w:rPr>
                      <w:rFonts w:hint="eastAsia" w:asciiTheme="minorEastAsia" w:hAnsiTheme="minorEastAsia" w:eastAsiaTheme="minorEastAsia" w:cstheme="minorEastAsia"/>
                      <w:sz w:val="18"/>
                      <w:szCs w:val="18"/>
                      <w:lang w:eastAsia="zh-CN"/>
                    </w:rPr>
                    <w:t>面</w:t>
                  </w:r>
                  <w:r>
                    <w:rPr>
                      <w:rFonts w:hint="eastAsia" w:asciiTheme="minorEastAsia" w:hAnsiTheme="minorEastAsia" w:eastAsiaTheme="minorEastAsia" w:cstheme="minorEastAsia"/>
                      <w:sz w:val="18"/>
                      <w:szCs w:val="18"/>
                    </w:rPr>
                    <w:t>防渗</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本项目车间地面采用水泥硬化进行防渗。</w:t>
                  </w:r>
                </w:p>
              </w:tc>
              <w:tc>
                <w:tcPr>
                  <w:tcW w:w="567"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新建</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6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依托工程</w:t>
                  </w: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采暖</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烘干车间不供暖</w:t>
                  </w:r>
                </w:p>
              </w:tc>
              <w:tc>
                <w:tcPr>
                  <w:tcW w:w="567" w:type="dxa"/>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依托</w:t>
                  </w: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煤泥</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湿煤泥通过管道从洗煤厂煤泥池输送至烘干压滤车间</w:t>
                  </w:r>
                </w:p>
              </w:tc>
              <w:tc>
                <w:tcPr>
                  <w:tcW w:w="567"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6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53"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生活设施</w:t>
                  </w:r>
                </w:p>
              </w:tc>
              <w:tc>
                <w:tcPr>
                  <w:tcW w:w="5044"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本项目职工生活设施依托煤矿矿区内的原有生活建筑设施</w:t>
                  </w:r>
                </w:p>
              </w:tc>
              <w:tc>
                <w:tcPr>
                  <w:tcW w:w="567" w:type="dxa"/>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p>
              </w:tc>
              <w:tc>
                <w:tcPr>
                  <w:tcW w:w="132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与环评一致</w:t>
                  </w:r>
                </w:p>
              </w:tc>
            </w:tr>
          </w:tbl>
          <w:p>
            <w:pPr>
              <w:spacing w:line="480" w:lineRule="atLeast"/>
              <w:rPr>
                <w:rFonts w:hint="eastAsia" w:ascii="Times New Roman" w:hAnsi="Times New Roman" w:eastAsia="宋体" w:cs="Times New Roman"/>
                <w:sz w:val="24"/>
                <w:szCs w:val="24"/>
                <w:lang w:val="en-US" w:eastAsia="zh-CN"/>
              </w:rPr>
            </w:pPr>
          </w:p>
          <w:tbl>
            <w:tblPr>
              <w:tblStyle w:val="1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8"/>
              <w:gridCol w:w="4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4578" w:type="dxa"/>
                  <w:vAlign w:val="top"/>
                </w:tcPr>
                <w:p>
                  <w:pPr>
                    <w:adjustRightInd w:val="0"/>
                    <w:snapToGrid w:val="0"/>
                    <w:spacing w:before="120" w:beforeLines="50" w:line="360" w:lineRule="auto"/>
                    <w:jc w:val="center"/>
                    <w:rPr>
                      <w:rFonts w:hint="eastAsia" w:ascii="宋体" w:hAnsi="宋体" w:eastAsia="宋体" w:cs="宋体"/>
                      <w:b w:val="0"/>
                      <w:bCs w:val="0"/>
                      <w:sz w:val="21"/>
                      <w:szCs w:val="21"/>
                      <w:lang w:eastAsia="zh-CN"/>
                    </w:rPr>
                  </w:pPr>
                  <w:r>
                    <w:rPr>
                      <w:sz w:val="21"/>
                      <w:szCs w:val="21"/>
                    </w:rPr>
                    <w:drawing>
                      <wp:inline distT="0" distB="0" distL="114300" distR="114300">
                        <wp:extent cx="2545080" cy="1871980"/>
                        <wp:effectExtent l="9525" t="9525" r="17145" b="2349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6"/>
                                <a:stretch>
                                  <a:fillRect/>
                                </a:stretch>
                              </pic:blipFill>
                              <pic:spPr>
                                <a:xfrm>
                                  <a:off x="0" y="0"/>
                                  <a:ext cx="2545080" cy="187198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4368" w:type="dxa"/>
                  <w:vAlign w:val="top"/>
                </w:tcPr>
                <w:p>
                  <w:pPr>
                    <w:adjustRightInd w:val="0"/>
                    <w:snapToGrid w:val="0"/>
                    <w:spacing w:before="120" w:beforeLines="50" w:line="360" w:lineRule="auto"/>
                    <w:jc w:val="center"/>
                    <w:rPr>
                      <w:sz w:val="21"/>
                      <w:szCs w:val="21"/>
                    </w:rPr>
                  </w:pPr>
                  <w:r>
                    <w:rPr>
                      <w:rFonts w:ascii="仿宋_GB2312" w:eastAsia="仿宋_GB2312"/>
                      <w:sz w:val="21"/>
                      <w:szCs w:val="21"/>
                    </w:rPr>
                    <w:drawing>
                      <wp:inline distT="0" distB="0" distL="114300" distR="114300">
                        <wp:extent cx="2540000" cy="1905000"/>
                        <wp:effectExtent l="0" t="0" r="12700" b="0"/>
                        <wp:docPr id="42" name="图片 12" descr="IMG_20180602_11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IMG_20180602_114623"/>
                                <pic:cNvPicPr>
                                  <a:picLocks noChangeAspect="1"/>
                                </pic:cNvPicPr>
                              </pic:nvPicPr>
                              <pic:blipFill>
                                <a:blip r:embed="rId7"/>
                                <a:stretch>
                                  <a:fillRect/>
                                </a:stretch>
                              </pic:blipFill>
                              <pic:spPr>
                                <a:xfrm>
                                  <a:off x="0" y="0"/>
                                  <a:ext cx="2540000" cy="19050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8946" w:type="dxa"/>
                  <w:gridSpan w:val="2"/>
                  <w:vAlign w:val="top"/>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依托的末煤储煤场</w:t>
                  </w:r>
                </w:p>
              </w:tc>
            </w:tr>
          </w:tbl>
          <w:p>
            <w:pPr>
              <w:pStyle w:val="2"/>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sz w:val="21"/>
                <w:szCs w:val="21"/>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（2）主要设备</w:t>
            </w:r>
          </w:p>
          <w:p>
            <w:pPr>
              <w:keepNext w:val="0"/>
              <w:keepLines w:val="0"/>
              <w:pageBreakBefore w:val="0"/>
              <w:widowControl/>
              <w:kinsoku/>
              <w:wordWrap/>
              <w:overflowPunct/>
              <w:topLinePunct w:val="0"/>
              <w:autoSpaceDE/>
              <w:autoSpaceDN/>
              <w:bidi w:val="0"/>
              <w:adjustRightInd w:val="0"/>
              <w:snapToGrid w:val="0"/>
              <w:spacing w:after="0" w:line="360" w:lineRule="auto"/>
              <w:ind w:firstLine="392" w:firstLineChars="187"/>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 xml:space="preserve"> 本项目环评及其批复决定</w:t>
            </w:r>
            <w:r>
              <w:rPr>
                <w:rFonts w:hint="eastAsia" w:ascii="宋体" w:hAnsi="宋体" w:eastAsia="宋体" w:cs="宋体"/>
                <w:sz w:val="21"/>
                <w:szCs w:val="21"/>
                <w:lang w:eastAsia="zh-CN"/>
              </w:rPr>
              <w:t>配备</w:t>
            </w:r>
            <w:r>
              <w:rPr>
                <w:rFonts w:hint="eastAsia" w:ascii="宋体" w:hAnsi="宋体" w:eastAsia="宋体" w:cs="宋体"/>
                <w:sz w:val="21"/>
                <w:szCs w:val="21"/>
              </w:rPr>
              <w:t>的主要设备见表</w:t>
            </w:r>
            <w:r>
              <w:rPr>
                <w:rFonts w:hint="eastAsia" w:ascii="宋体" w:hAnsi="宋体" w:eastAsia="宋体" w:cs="宋体"/>
                <w:sz w:val="21"/>
                <w:szCs w:val="21"/>
                <w:lang w:val="en-US" w:eastAsia="zh-CN"/>
              </w:rPr>
              <w:t>2-3</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2-3  </w:t>
            </w:r>
            <w:r>
              <w:rPr>
                <w:rFonts w:hint="default" w:ascii="Times New Roman" w:hAnsi="Times New Roman" w:eastAsia="宋体" w:cs="Times New Roman"/>
                <w:b/>
                <w:bCs/>
                <w:sz w:val="21"/>
                <w:szCs w:val="21"/>
              </w:rPr>
              <w:t>本项目主要设备一览表</w:t>
            </w:r>
          </w:p>
          <w:tbl>
            <w:tblPr>
              <w:tblStyle w:val="10"/>
              <w:tblW w:w="89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
              <w:gridCol w:w="737"/>
              <w:gridCol w:w="1745"/>
              <w:gridCol w:w="2097"/>
              <w:gridCol w:w="641"/>
              <w:gridCol w:w="520"/>
              <w:gridCol w:w="720"/>
              <w:gridCol w:w="931"/>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序号</w:t>
                  </w:r>
                </w:p>
              </w:tc>
              <w:tc>
                <w:tcPr>
                  <w:tcW w:w="7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部件</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名称</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设备名称</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规格、型号</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单位</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数量</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电压等级</w:t>
                  </w: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安装位置</w:t>
                  </w:r>
                </w:p>
              </w:tc>
              <w:tc>
                <w:tcPr>
                  <w:tcW w:w="11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实际建设与环评相符性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1</w:t>
                  </w:r>
                </w:p>
              </w:tc>
              <w:tc>
                <w:tcPr>
                  <w:tcW w:w="73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刮板机</w:t>
                  </w:r>
                </w:p>
              </w:tc>
              <w:tc>
                <w:tcPr>
                  <w:tcW w:w="1745"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封闭式刮板给料机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B=600mm，L=6.5m</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建筑内一层</w:t>
                  </w:r>
                </w:p>
              </w:tc>
              <w:tc>
                <w:tcPr>
                  <w:tcW w:w="113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附电机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N=7.5kW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减速机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XWD-11-6-71，速比71</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2</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反哺式喂料机</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双轴螺旋给料机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建筑内二层</w:t>
                  </w:r>
                </w:p>
              </w:tc>
              <w:tc>
                <w:tcPr>
                  <w:tcW w:w="113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附：电机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Y225M-6   30KW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3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3</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滚筒式</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干燥机</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滚筒式干燥机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MG2518</w:t>
                  </w:r>
                  <w:r>
                    <w:rPr>
                      <w:rFonts w:hint="eastAsia" w:ascii="Times New Roman" w:hAnsi="Times New Roman" w:eastAsia="宋体" w:cs="Times New Roman"/>
                      <w:color w:val="000000"/>
                      <w:sz w:val="18"/>
                      <w:szCs w:val="18"/>
                      <w:lang w:val="en-US" w:eastAsia="zh-CN"/>
                    </w:rPr>
                    <w:br w:type="textWrapping"/>
                  </w:r>
                  <w:r>
                    <w:rPr>
                      <w:rFonts w:hint="eastAsia" w:ascii="Times New Roman" w:hAnsi="Times New Roman" w:eastAsia="宋体" w:cs="Times New Roman"/>
                      <w:color w:val="000000"/>
                      <w:sz w:val="18"/>
                      <w:szCs w:val="18"/>
                      <w:lang w:val="en-US" w:eastAsia="zh-CN"/>
                    </w:rPr>
                    <w:t xml:space="preserve">N=3～5.5r/min </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倾斜</w:t>
                  </w:r>
                  <w:r>
                    <w:rPr>
                      <w:rFonts w:hint="eastAsia" w:ascii="Times New Roman" w:hAnsi="Times New Roman" w:eastAsia="宋体" w:cs="Times New Roman"/>
                      <w:color w:val="000000"/>
                      <w:sz w:val="18"/>
                      <w:szCs w:val="18"/>
                      <w:lang w:val="en-US" w:eastAsia="zh-CN"/>
                    </w:rPr>
                    <w:t>4%</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套</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建筑内一层</w:t>
                  </w:r>
                </w:p>
              </w:tc>
              <w:tc>
                <w:tcPr>
                  <w:tcW w:w="113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附：电机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Y280M-6   N=55kW n=980rpm</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减速机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JZQ750，速比31.5</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3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4</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引风机</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引风机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Y5-47№12D</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建筑内二层</w:t>
                  </w:r>
                </w:p>
              </w:tc>
              <w:tc>
                <w:tcPr>
                  <w:tcW w:w="113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附：电机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Y280S-4   N=75KW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3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5</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气箱脉冲袋式</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除尘器</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气箱脉冲袋式</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除尘器</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asciiTheme="minorEastAsia" w:hAnsiTheme="minorEastAsia" w:cstheme="minorEastAsia"/>
                      <w:b w:val="0"/>
                      <w:bCs/>
                      <w:sz w:val="18"/>
                      <w:szCs w:val="18"/>
                      <w:lang w:eastAsia="zh-CN"/>
                    </w:rPr>
                  </w:pPr>
                  <w:r>
                    <w:rPr>
                      <w:rFonts w:hint="eastAsia" w:ascii="Times New Roman" w:hAnsi="Times New Roman" w:eastAsia="宋体" w:cs="Times New Roman"/>
                      <w:color w:val="000000"/>
                      <w:sz w:val="18"/>
                      <w:szCs w:val="18"/>
                      <w:lang w:val="en-US" w:eastAsia="zh-CN"/>
                    </w:rPr>
                    <w:t>PPC96-7</w:t>
                  </w:r>
                  <w:r>
                    <w:rPr>
                      <w:rFonts w:hint="eastAsia" w:asciiTheme="minorEastAsia" w:hAnsiTheme="minorEastAsia" w:eastAsiaTheme="minorEastAsia" w:cstheme="minorEastAsia"/>
                      <w:b w:val="0"/>
                      <w:bCs/>
                      <w:sz w:val="18"/>
                      <w:szCs w:val="18"/>
                    </w:rPr>
                    <w:t xml:space="preserve">  处理烟气量：</w:t>
                  </w:r>
                  <w:r>
                    <w:rPr>
                      <w:rFonts w:hint="eastAsia" w:ascii="Times New Roman" w:hAnsi="Times New Roman" w:eastAsia="宋体" w:cs="Times New Roman"/>
                      <w:color w:val="000000"/>
                      <w:sz w:val="18"/>
                      <w:szCs w:val="18"/>
                      <w:lang w:val="en-US" w:eastAsia="zh-CN"/>
                    </w:rPr>
                    <w:t>≥50000m</w:t>
                  </w:r>
                  <w:r>
                    <w:rPr>
                      <w:rFonts w:hint="eastAsia" w:ascii="Times New Roman" w:hAnsi="Times New Roman" w:eastAsia="宋体" w:cs="Times New Roman"/>
                      <w:color w:val="000000"/>
                      <w:sz w:val="18"/>
                      <w:szCs w:val="18"/>
                      <w:vertAlign w:val="superscript"/>
                      <w:lang w:val="en-US" w:eastAsia="zh-CN"/>
                    </w:rPr>
                    <w:t>3</w:t>
                  </w:r>
                  <w:r>
                    <w:rPr>
                      <w:rFonts w:hint="eastAsia" w:ascii="Times New Roman" w:hAnsi="Times New Roman" w:eastAsia="宋体" w:cs="Times New Roman"/>
                      <w:color w:val="000000"/>
                      <w:sz w:val="18"/>
                      <w:szCs w:val="18"/>
                      <w:lang w:val="en-US" w:eastAsia="zh-CN"/>
                    </w:rPr>
                    <w:t>/h</w:t>
                  </w:r>
                  <w:r>
                    <w:rPr>
                      <w:rFonts w:hint="eastAsia" w:asciiTheme="minorEastAsia" w:hAnsiTheme="minorEastAsia" w:eastAsiaTheme="minorEastAsia" w:cstheme="minorEastAsia"/>
                      <w:b w:val="0"/>
                      <w:bCs/>
                      <w:sz w:val="18"/>
                      <w:szCs w:val="18"/>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除尘效率</w:t>
                  </w:r>
                  <w:r>
                    <w:rPr>
                      <w:rFonts w:hint="eastAsia" w:ascii="Times New Roman" w:hAnsi="Times New Roman" w:eastAsia="宋体" w:cs="Times New Roman"/>
                      <w:color w:val="000000"/>
                      <w:sz w:val="18"/>
                      <w:szCs w:val="18"/>
                      <w:lang w:val="en-US" w:eastAsia="zh-CN"/>
                    </w:rPr>
                    <w:t>99%</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下料仓东侧</w:t>
                  </w:r>
                </w:p>
              </w:tc>
              <w:tc>
                <w:tcPr>
                  <w:tcW w:w="113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脉冲袋式除尘器、脱硫塔与环评一致，并在脉冲袋式除尘器之前增加旋风除尘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除尘器烟囱</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排气筒高</w:t>
                  </w:r>
                  <w:r>
                    <w:rPr>
                      <w:rFonts w:hint="eastAsia" w:ascii="Times New Roman" w:hAnsi="Times New Roman" w:eastAsia="宋体" w:cs="Times New Roman"/>
                      <w:color w:val="000000"/>
                      <w:sz w:val="18"/>
                      <w:szCs w:val="18"/>
                      <w:lang w:val="en-US" w:eastAsia="zh-CN"/>
                    </w:rPr>
                    <w:t>20m</w:t>
                  </w:r>
                  <w:r>
                    <w:rPr>
                      <w:rFonts w:hint="eastAsia" w:asciiTheme="minorEastAsia" w:hAnsiTheme="minorEastAsia" w:eastAsiaTheme="minorEastAsia" w:cstheme="minorEastAsia"/>
                      <w:b w:val="0"/>
                      <w:bCs/>
                      <w:sz w:val="18"/>
                      <w:szCs w:val="18"/>
                    </w:rPr>
                    <w:t>，内径</w:t>
                  </w:r>
                  <w:r>
                    <w:rPr>
                      <w:rFonts w:hint="eastAsia" w:ascii="Times New Roman" w:hAnsi="Times New Roman" w:eastAsia="宋体" w:cs="Times New Roman"/>
                      <w:color w:val="000000"/>
                      <w:sz w:val="18"/>
                      <w:szCs w:val="18"/>
                      <w:lang w:val="en-US" w:eastAsia="zh-CN"/>
                    </w:rPr>
                    <w:t>0.45m</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件</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建筑内三层</w:t>
                  </w: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3" w:hRule="atLeast"/>
                <w:jc w:val="center"/>
              </w:trPr>
              <w:tc>
                <w:tcPr>
                  <w:tcW w:w="38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6</w:t>
                  </w:r>
                </w:p>
              </w:tc>
              <w:tc>
                <w:tcPr>
                  <w:tcW w:w="73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脱硫塔</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脱硫塔</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imes New Roman" w:hAnsi="Times New Roman" w:eastAsia="宋体" w:cs="Times New Roman"/>
                      <w:color w:val="000000"/>
                      <w:sz w:val="18"/>
                      <w:szCs w:val="18"/>
                      <w:lang w:val="en-US" w:eastAsia="zh-CN"/>
                    </w:rPr>
                    <w:t xml:space="preserve">FRP2000 </w:t>
                  </w:r>
                  <w:r>
                    <w:rPr>
                      <w:rFonts w:hint="eastAsia" w:asciiTheme="minorEastAsia" w:hAnsiTheme="minorEastAsia" w:eastAsiaTheme="minorEastAsia" w:cstheme="minorEastAsia"/>
                      <w:b w:val="0"/>
                      <w:bCs/>
                      <w:sz w:val="18"/>
                      <w:szCs w:val="18"/>
                    </w:rPr>
                    <w:t xml:space="preserve">  </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耐酸率</w:t>
                  </w:r>
                  <w:r>
                    <w:rPr>
                      <w:rFonts w:hint="eastAsia" w:ascii="Times New Roman" w:hAnsi="Times New Roman" w:eastAsia="宋体" w:cs="Times New Roman"/>
                      <w:color w:val="000000"/>
                      <w:sz w:val="18"/>
                      <w:szCs w:val="18"/>
                      <w:lang w:val="en-US" w:eastAsia="zh-CN"/>
                    </w:rPr>
                    <w:t>&gt;98.5%</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脱硫效率</w:t>
                  </w:r>
                  <w:r>
                    <w:rPr>
                      <w:rFonts w:hint="eastAsia" w:ascii="Times New Roman" w:hAnsi="Times New Roman" w:eastAsia="宋体" w:cs="Times New Roman"/>
                      <w:color w:val="000000"/>
                      <w:sz w:val="18"/>
                      <w:szCs w:val="18"/>
                      <w:lang w:val="en-US" w:eastAsia="zh-CN"/>
                    </w:rPr>
                    <w:t>≥85%</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建筑内一层</w:t>
                  </w: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循环水泵</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imes New Roman" w:hAnsi="Times New Roman" w:eastAsia="宋体" w:cs="Times New Roman"/>
                      <w:color w:val="000000"/>
                      <w:sz w:val="18"/>
                      <w:szCs w:val="18"/>
                      <w:lang w:val="en-US" w:eastAsia="zh-CN"/>
                    </w:rPr>
                    <w:t>N=20kW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建筑内一层</w:t>
                  </w: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3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7</w:t>
                  </w:r>
                </w:p>
              </w:tc>
              <w:tc>
                <w:tcPr>
                  <w:tcW w:w="7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快速隔膜压滤机</w:t>
                  </w: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快速隔膜压滤机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imes New Roman" w:hAnsi="Times New Roman" w:eastAsia="宋体" w:cs="Times New Roman"/>
                      <w:color w:val="000000"/>
                      <w:sz w:val="18"/>
                      <w:szCs w:val="18"/>
                      <w:lang w:val="en-US" w:eastAsia="zh-CN"/>
                    </w:rPr>
                    <w:t>HKMZG300/1600-U</w:t>
                  </w:r>
                  <w:r>
                    <w:rPr>
                      <w:rFonts w:hint="eastAsia" w:asciiTheme="minorEastAsia" w:hAnsiTheme="minorEastAsia" w:eastAsiaTheme="minorEastAsia" w:cstheme="minorEastAsia"/>
                      <w:b w:val="0"/>
                      <w:bCs/>
                      <w:sz w:val="18"/>
                      <w:szCs w:val="18"/>
                    </w:rPr>
                    <w:t>两台，过滤面积</w:t>
                  </w:r>
                  <w:r>
                    <w:rPr>
                      <w:rFonts w:hint="eastAsia" w:ascii="Times New Roman" w:hAnsi="Times New Roman" w:eastAsia="宋体" w:cs="Times New Roman"/>
                      <w:color w:val="000000"/>
                      <w:sz w:val="18"/>
                      <w:szCs w:val="18"/>
                      <w:lang w:val="en-US" w:eastAsia="zh-CN"/>
                    </w:rPr>
                    <w:t>300m</w:t>
                  </w:r>
                  <w:r>
                    <w:rPr>
                      <w:rFonts w:hint="eastAsia" w:asciiTheme="minorEastAsia" w:hAnsiTheme="minorEastAsia" w:eastAsiaTheme="minorEastAsia" w:cstheme="minorEastAsia"/>
                      <w:b w:val="0"/>
                      <w:bCs/>
                      <w:sz w:val="18"/>
                      <w:szCs w:val="18"/>
                      <w:vertAlign w:val="superscript"/>
                    </w:rPr>
                    <w:t>2</w:t>
                  </w:r>
                  <w:r>
                    <w:rPr>
                      <w:rFonts w:hint="eastAsia" w:asciiTheme="minorEastAsia" w:hAnsiTheme="minorEastAsia" w:eastAsiaTheme="minorEastAsia" w:cstheme="minorEastAsia"/>
                      <w:b w:val="0"/>
                      <w:bCs/>
                      <w:sz w:val="18"/>
                      <w:szCs w:val="18"/>
                    </w:rPr>
                    <w:t>,滤室总容积</w:t>
                  </w:r>
                  <w:r>
                    <w:rPr>
                      <w:rFonts w:hint="eastAsia" w:ascii="Times New Roman" w:hAnsi="Times New Roman" w:eastAsia="宋体" w:cs="Times New Roman"/>
                      <w:color w:val="000000"/>
                      <w:sz w:val="18"/>
                      <w:szCs w:val="18"/>
                      <w:lang w:val="en-US" w:eastAsia="zh-CN"/>
                    </w:rPr>
                    <w:t>6.85m</w:t>
                  </w:r>
                  <w:r>
                    <w:rPr>
                      <w:rFonts w:hint="eastAsia" w:ascii="Times New Roman" w:hAnsi="Times New Roman" w:eastAsia="宋体" w:cs="Times New Roman"/>
                      <w:color w:val="000000"/>
                      <w:sz w:val="18"/>
                      <w:szCs w:val="18"/>
                      <w:vertAlign w:val="superscript"/>
                      <w:lang w:val="en-US" w:eastAsia="zh-CN"/>
                    </w:rPr>
                    <w:t>3</w:t>
                  </w:r>
                  <w:r>
                    <w:rPr>
                      <w:rFonts w:hint="eastAsia" w:asciiTheme="minorEastAsia" w:hAnsiTheme="minorEastAsia" w:eastAsiaTheme="minorEastAsia" w:cstheme="minorEastAsia"/>
                      <w:b w:val="0"/>
                      <w:bCs/>
                      <w:sz w:val="18"/>
                      <w:szCs w:val="18"/>
                    </w:rPr>
                    <w:t>,</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处理能力：干煤泥</w:t>
                  </w:r>
                  <w:r>
                    <w:rPr>
                      <w:rFonts w:hint="eastAsia" w:ascii="Times New Roman" w:hAnsi="Times New Roman" w:eastAsia="宋体" w:cs="Times New Roman"/>
                      <w:color w:val="000000"/>
                      <w:sz w:val="18"/>
                      <w:szCs w:val="18"/>
                      <w:lang w:val="en-US" w:eastAsia="zh-CN"/>
                    </w:rPr>
                    <w:t>18-27t/h</w:t>
                  </w:r>
                  <w:r>
                    <w:rPr>
                      <w:rFonts w:hint="eastAsia" w:asciiTheme="minorEastAsia" w:hAnsiTheme="minorEastAsia" w:eastAsiaTheme="minorEastAsia" w:cstheme="minorEastAsia"/>
                      <w:b w:val="0"/>
                      <w:bCs/>
                      <w:sz w:val="18"/>
                      <w:szCs w:val="18"/>
                    </w:rPr>
                    <w:t>,滤室数量</w:t>
                  </w:r>
                  <w:r>
                    <w:rPr>
                      <w:rFonts w:hint="eastAsia" w:ascii="Times New Roman" w:hAnsi="Times New Roman" w:eastAsia="宋体" w:cs="Times New Roman"/>
                      <w:color w:val="000000"/>
                      <w:sz w:val="18"/>
                      <w:szCs w:val="18"/>
                      <w:lang w:val="en-US" w:eastAsia="zh-CN"/>
                    </w:rPr>
                    <w:t>70</w:t>
                  </w:r>
                  <w:r>
                    <w:rPr>
                      <w:rFonts w:hint="eastAsia" w:asciiTheme="minorEastAsia" w:hAnsiTheme="minorEastAsia" w:eastAsiaTheme="minorEastAsia" w:cstheme="minorEastAsia"/>
                      <w:b w:val="0"/>
                      <w:bCs/>
                      <w:sz w:val="18"/>
                      <w:szCs w:val="18"/>
                    </w:rPr>
                    <w:t>个，额定压榨压力</w:t>
                  </w:r>
                  <w:r>
                    <w:rPr>
                      <w:rFonts w:hint="eastAsia" w:ascii="Times New Roman" w:hAnsi="Times New Roman" w:eastAsia="宋体" w:cs="Times New Roman"/>
                      <w:color w:val="000000"/>
                      <w:sz w:val="18"/>
                      <w:szCs w:val="18"/>
                      <w:lang w:val="en-US" w:eastAsia="zh-CN"/>
                    </w:rPr>
                    <w:t>0.8Mpa</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建筑内三层</w:t>
                  </w:r>
                </w:p>
              </w:tc>
              <w:tc>
                <w:tcPr>
                  <w:tcW w:w="113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8</w:t>
                  </w:r>
                </w:p>
              </w:tc>
              <w:tc>
                <w:tcPr>
                  <w:tcW w:w="73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热风炉</w:t>
                  </w:r>
                </w:p>
              </w:tc>
              <w:tc>
                <w:tcPr>
                  <w:tcW w:w="174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热风炉</w:t>
                  </w:r>
                </w:p>
              </w:tc>
              <w:tc>
                <w:tcPr>
                  <w:tcW w:w="2097"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600×104kcal/h</w:t>
                  </w:r>
                </w:p>
              </w:tc>
              <w:tc>
                <w:tcPr>
                  <w:tcW w:w="64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restart"/>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建筑内一层</w:t>
                  </w:r>
                </w:p>
              </w:tc>
              <w:tc>
                <w:tcPr>
                  <w:tcW w:w="1134" w:type="dxa"/>
                  <w:vMerge w:val="restart"/>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上煤机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ZDS-10，N=1.5KW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套</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出渣机</w:t>
                  </w:r>
                </w:p>
              </w:tc>
              <w:tc>
                <w:tcPr>
                  <w:tcW w:w="2097" w:type="dxa"/>
                  <w:tcBorders>
                    <w:tl2br w:val="nil"/>
                    <w:tr2bl w:val="nil"/>
                  </w:tcBorders>
                  <w:shd w:val="clear" w:color="000000" w:fill="FFFFFF"/>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B=400mm</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出渣机电机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N=3kW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1</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热风炉鼓风机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4-72  NO.4.5A</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　</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38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73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7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附：电动机</w:t>
                  </w:r>
                </w:p>
              </w:tc>
              <w:tc>
                <w:tcPr>
                  <w:tcW w:w="209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Y13</w:t>
                  </w:r>
                  <w:r>
                    <w:rPr>
                      <w:rFonts w:hint="eastAsia" w:ascii="Times New Roman" w:hAnsi="Times New Roman" w:eastAsia="宋体" w:cs="Times New Roman"/>
                      <w:color w:val="000000"/>
                      <w:sz w:val="18"/>
                      <w:szCs w:val="18"/>
                      <w:lang w:val="en-US" w:eastAsia="zh-CN"/>
                    </w:rPr>
                    <w:cr/>
                  </w:r>
                  <w:r>
                    <w:rPr>
                      <w:rFonts w:hint="eastAsia" w:ascii="Times New Roman" w:hAnsi="Times New Roman" w:eastAsia="宋体" w:cs="Times New Roman"/>
                      <w:color w:val="000000"/>
                      <w:sz w:val="18"/>
                      <w:szCs w:val="18"/>
                      <w:lang w:val="en-US" w:eastAsia="zh-CN"/>
                    </w:rPr>
                    <w:t>S2-2   N=7.5KW</w:t>
                  </w:r>
                </w:p>
              </w:tc>
              <w:tc>
                <w:tcPr>
                  <w:tcW w:w="6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台</w:t>
                  </w:r>
                </w:p>
              </w:tc>
              <w:tc>
                <w:tcPr>
                  <w:tcW w:w="5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w:t>
                  </w:r>
                </w:p>
              </w:tc>
              <w:tc>
                <w:tcPr>
                  <w:tcW w:w="7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660V</w:t>
                  </w:r>
                </w:p>
              </w:tc>
              <w:tc>
                <w:tcPr>
                  <w:tcW w:w="93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c>
                <w:tcPr>
                  <w:tcW w:w="113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p>
              </w:tc>
            </w:tr>
          </w:tbl>
          <w:p>
            <w:pPr>
              <w:spacing w:line="360" w:lineRule="auto"/>
              <w:rPr>
                <w:rFonts w:hint="eastAsia" w:ascii="Times New Roman" w:hAnsi="Times New Roman" w:eastAsia="宋体" w:cs="Times New Roman"/>
                <w:sz w:val="24"/>
                <w:szCs w:val="24"/>
                <w:lang w:val="en-US" w:eastAsia="zh-CN"/>
              </w:rPr>
            </w:pPr>
          </w:p>
          <w:tbl>
            <w:tblPr>
              <w:tblStyle w:val="10"/>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4"/>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242820" cy="1682115"/>
                        <wp:effectExtent l="0" t="0" r="5080" b="13335"/>
                        <wp:docPr id="11" name="图片 9" descr="IMG_20180608_09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0180608_091542"/>
                                <pic:cNvPicPr>
                                  <a:picLocks noChangeAspect="1"/>
                                </pic:cNvPicPr>
                              </pic:nvPicPr>
                              <pic:blipFill>
                                <a:blip r:embed="rId8"/>
                                <a:stretch>
                                  <a:fillRect/>
                                </a:stretch>
                              </pic:blipFill>
                              <pic:spPr>
                                <a:xfrm>
                                  <a:off x="0" y="0"/>
                                  <a:ext cx="2242820" cy="1682115"/>
                                </a:xfrm>
                                <a:prstGeom prst="rect">
                                  <a:avLst/>
                                </a:prstGeom>
                                <a:noFill/>
                                <a:ln w="9525">
                                  <a:noFill/>
                                </a:ln>
                              </pic:spPr>
                            </pic:pic>
                          </a:graphicData>
                        </a:graphic>
                      </wp:inline>
                    </w:drawing>
                  </w:r>
                </w:p>
              </w:tc>
              <w:tc>
                <w:tcPr>
                  <w:tcW w:w="4474" w:type="dxa"/>
                  <w:vAlign w:val="center"/>
                </w:tcPr>
                <w:p>
                  <w:pPr>
                    <w:snapToGrid w:val="0"/>
                    <w:spacing w:line="266" w:lineRule="atLeast"/>
                    <w:jc w:val="center"/>
                    <w:rPr>
                      <w:rFonts w:hint="eastAsia" w:eastAsia="仿宋_GB2312"/>
                      <w:b/>
                      <w:sz w:val="21"/>
                      <w:szCs w:val="21"/>
                      <w:lang w:eastAsia="zh-CN"/>
                    </w:rPr>
                  </w:pPr>
                  <w:r>
                    <w:rPr>
                      <w:rFonts w:hint="eastAsia" w:eastAsia="仿宋_GB2312"/>
                      <w:b/>
                      <w:sz w:val="21"/>
                      <w:szCs w:val="21"/>
                      <w:lang w:eastAsia="zh-CN"/>
                    </w:rPr>
                    <w:drawing>
                      <wp:inline distT="0" distB="0" distL="114300" distR="114300">
                        <wp:extent cx="2262505" cy="1696720"/>
                        <wp:effectExtent l="0" t="0" r="4445" b="17780"/>
                        <wp:docPr id="12" name="图片 10" descr="IMG_20180608_09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0180608_093152"/>
                                <pic:cNvPicPr>
                                  <a:picLocks noChangeAspect="1"/>
                                </pic:cNvPicPr>
                              </pic:nvPicPr>
                              <pic:blipFill>
                                <a:blip r:embed="rId9"/>
                                <a:stretch>
                                  <a:fillRect/>
                                </a:stretch>
                              </pic:blipFill>
                              <pic:spPr>
                                <a:xfrm>
                                  <a:off x="0" y="0"/>
                                  <a:ext cx="2262505" cy="16967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刮板机</w:t>
                  </w:r>
                </w:p>
              </w:tc>
              <w:tc>
                <w:tcPr>
                  <w:tcW w:w="4474" w:type="dxa"/>
                  <w:vAlign w:val="center"/>
                </w:tcPr>
                <w:p>
                  <w:pPr>
                    <w:snapToGrid w:val="0"/>
                    <w:spacing w:line="266" w:lineRule="atLeast"/>
                    <w:jc w:val="center"/>
                    <w:rPr>
                      <w:rFonts w:hint="eastAsia" w:eastAsia="仿宋_GB2312"/>
                      <w:bCs/>
                      <w:sz w:val="21"/>
                      <w:szCs w:val="21"/>
                      <w:lang w:eastAsia="zh-CN"/>
                    </w:rPr>
                  </w:pPr>
                  <w:r>
                    <w:rPr>
                      <w:rFonts w:hint="eastAsia" w:asciiTheme="majorEastAsia" w:hAnsiTheme="majorEastAsia" w:eastAsiaTheme="majorEastAsia" w:cstheme="majorEastAsia"/>
                      <w:kern w:val="0"/>
                      <w:sz w:val="21"/>
                      <w:szCs w:val="21"/>
                    </w:rPr>
                    <w:t>反哺式喂料机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864995" cy="2487930"/>
                        <wp:effectExtent l="0" t="0" r="1905" b="7620"/>
                        <wp:docPr id="13" name="图片 11" descr="IMG_20180608_09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0180608_092909"/>
                                <pic:cNvPicPr>
                                  <a:picLocks noChangeAspect="1"/>
                                </pic:cNvPicPr>
                              </pic:nvPicPr>
                              <pic:blipFill>
                                <a:blip r:embed="rId10"/>
                                <a:stretch>
                                  <a:fillRect/>
                                </a:stretch>
                              </pic:blipFill>
                              <pic:spPr>
                                <a:xfrm>
                                  <a:off x="0" y="0"/>
                                  <a:ext cx="1864995" cy="2487930"/>
                                </a:xfrm>
                                <a:prstGeom prst="rect">
                                  <a:avLst/>
                                </a:prstGeom>
                                <a:noFill/>
                                <a:ln w="9525">
                                  <a:noFill/>
                                </a:ln>
                              </pic:spPr>
                            </pic:pic>
                          </a:graphicData>
                        </a:graphic>
                      </wp:inline>
                    </w:drawing>
                  </w:r>
                </w:p>
              </w:tc>
              <w:tc>
                <w:tcPr>
                  <w:tcW w:w="4474" w:type="dxa"/>
                  <w:vAlign w:val="center"/>
                </w:tcPr>
                <w:p>
                  <w:pPr>
                    <w:snapToGrid w:val="0"/>
                    <w:spacing w:line="266" w:lineRule="atLeast"/>
                    <w:jc w:val="center"/>
                    <w:rPr>
                      <w:rFonts w:hint="eastAsia" w:eastAsia="仿宋_GB2312"/>
                      <w:bCs/>
                      <w:sz w:val="21"/>
                      <w:szCs w:val="21"/>
                      <w:lang w:eastAsia="zh-CN"/>
                    </w:rPr>
                  </w:pPr>
                  <w:r>
                    <w:rPr>
                      <w:rFonts w:hint="eastAsia" w:eastAsia="仿宋_GB2312"/>
                      <w:bCs/>
                      <w:sz w:val="21"/>
                      <w:szCs w:val="21"/>
                      <w:lang w:eastAsia="zh-CN"/>
                    </w:rPr>
                    <w:drawing>
                      <wp:inline distT="0" distB="0" distL="114300" distR="114300">
                        <wp:extent cx="1846580" cy="2463165"/>
                        <wp:effectExtent l="0" t="0" r="1270" b="13335"/>
                        <wp:docPr id="14" name="图片 12" descr="IMG_20180608_09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0180608_093814"/>
                                <pic:cNvPicPr>
                                  <a:picLocks noChangeAspect="1"/>
                                </pic:cNvPicPr>
                              </pic:nvPicPr>
                              <pic:blipFill>
                                <a:blip r:embed="rId11"/>
                                <a:stretch>
                                  <a:fillRect/>
                                </a:stretch>
                              </pic:blipFill>
                              <pic:spPr>
                                <a:xfrm>
                                  <a:off x="0" y="0"/>
                                  <a:ext cx="1846580" cy="24631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widowControl/>
                    <w:jc w:val="center"/>
                    <w:rPr>
                      <w:rFonts w:hint="eastAsia" w:ascii="宋体" w:hAnsi="宋体" w:eastAsia="宋体" w:cs="宋体"/>
                      <w:sz w:val="21"/>
                      <w:szCs w:val="21"/>
                      <w:lang w:eastAsia="zh-CN"/>
                    </w:rPr>
                  </w:pPr>
                  <w:r>
                    <w:rPr>
                      <w:rFonts w:hint="eastAsia" w:ascii="宋体" w:hAnsi="宋体" w:eastAsia="宋体" w:cs="宋体"/>
                      <w:kern w:val="0"/>
                      <w:sz w:val="21"/>
                      <w:szCs w:val="21"/>
                    </w:rPr>
                    <w:t>滚筒干燥机</w:t>
                  </w:r>
                </w:p>
              </w:tc>
              <w:tc>
                <w:tcPr>
                  <w:tcW w:w="4474" w:type="dxa"/>
                  <w:vAlign w:val="center"/>
                </w:tcPr>
                <w:p>
                  <w:pPr>
                    <w:snapToGrid w:val="0"/>
                    <w:spacing w:line="266" w:lineRule="atLeast"/>
                    <w:jc w:val="center"/>
                    <w:rPr>
                      <w:rFonts w:hint="eastAsia" w:eastAsia="仿宋_GB2312"/>
                      <w:bCs/>
                      <w:sz w:val="21"/>
                      <w:szCs w:val="21"/>
                      <w:lang w:eastAsia="zh-CN"/>
                    </w:rPr>
                  </w:pPr>
                  <w:r>
                    <w:rPr>
                      <w:rFonts w:hint="eastAsia" w:ascii="宋体" w:hAnsi="宋体" w:eastAsia="宋体" w:cs="宋体"/>
                      <w:bCs/>
                      <w:sz w:val="21"/>
                      <w:szCs w:val="21"/>
                      <w:lang w:eastAsia="zh-CN"/>
                    </w:rPr>
                    <w:t>引风机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0" w:hRule="atLeast"/>
              </w:trPr>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783715" cy="2379345"/>
                        <wp:effectExtent l="0" t="0" r="6985" b="1905"/>
                        <wp:docPr id="15" name="图片 13" descr="IMG_20180608_09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0180608_090401"/>
                                <pic:cNvPicPr>
                                  <a:picLocks noChangeAspect="1"/>
                                </pic:cNvPicPr>
                              </pic:nvPicPr>
                              <pic:blipFill>
                                <a:blip r:embed="rId12"/>
                                <a:stretch>
                                  <a:fillRect/>
                                </a:stretch>
                              </pic:blipFill>
                              <pic:spPr>
                                <a:xfrm>
                                  <a:off x="0" y="0"/>
                                  <a:ext cx="1783715" cy="2379345"/>
                                </a:xfrm>
                                <a:prstGeom prst="rect">
                                  <a:avLst/>
                                </a:prstGeom>
                                <a:noFill/>
                                <a:ln w="9525">
                                  <a:noFill/>
                                </a:ln>
                              </pic:spPr>
                            </pic:pic>
                          </a:graphicData>
                        </a:graphic>
                      </wp:inline>
                    </w:drawing>
                  </w:r>
                </w:p>
              </w:tc>
              <w:tc>
                <w:tcPr>
                  <w:tcW w:w="4474" w:type="dxa"/>
                  <w:vAlign w:val="center"/>
                </w:tcPr>
                <w:p>
                  <w:pPr>
                    <w:snapToGrid w:val="0"/>
                    <w:spacing w:line="266" w:lineRule="atLeast"/>
                    <w:jc w:val="center"/>
                    <w:rPr>
                      <w:rFonts w:hint="eastAsia" w:eastAsia="仿宋_GB2312"/>
                      <w:b/>
                      <w:sz w:val="21"/>
                      <w:szCs w:val="21"/>
                      <w:lang w:eastAsia="zh-CN"/>
                    </w:rPr>
                  </w:pPr>
                  <w:r>
                    <w:rPr>
                      <w:rFonts w:hint="eastAsia" w:eastAsia="仿宋_GB2312"/>
                      <w:b/>
                      <w:sz w:val="21"/>
                      <w:szCs w:val="21"/>
                      <w:lang w:eastAsia="zh-CN"/>
                    </w:rPr>
                    <w:drawing>
                      <wp:inline distT="0" distB="0" distL="114300" distR="114300">
                        <wp:extent cx="1756410" cy="2343785"/>
                        <wp:effectExtent l="0" t="0" r="15240" b="18415"/>
                        <wp:docPr id="16" name="图片 14" descr="IMG_20180608_09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0180608_094707"/>
                                <pic:cNvPicPr>
                                  <a:picLocks noChangeAspect="1"/>
                                </pic:cNvPicPr>
                              </pic:nvPicPr>
                              <pic:blipFill>
                                <a:blip r:embed="rId13"/>
                                <a:stretch>
                                  <a:fillRect/>
                                </a:stretch>
                              </pic:blipFill>
                              <pic:spPr>
                                <a:xfrm>
                                  <a:off x="0" y="0"/>
                                  <a:ext cx="1756410" cy="23437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气箱脉冲袋式除尘器</w:t>
                  </w:r>
                </w:p>
              </w:tc>
              <w:tc>
                <w:tcPr>
                  <w:tcW w:w="4474" w:type="dxa"/>
                  <w:vAlign w:val="center"/>
                </w:tcPr>
                <w:p>
                  <w:pPr>
                    <w:snapToGrid w:val="0"/>
                    <w:spacing w:line="266" w:lineRule="atLeast"/>
                    <w:jc w:val="center"/>
                    <w:rPr>
                      <w:rFonts w:hint="eastAsia" w:eastAsia="仿宋_GB2312"/>
                      <w:b/>
                      <w:sz w:val="21"/>
                      <w:szCs w:val="21"/>
                      <w:lang w:eastAsia="zh-CN"/>
                    </w:rPr>
                  </w:pPr>
                  <w:r>
                    <w:rPr>
                      <w:rFonts w:hint="eastAsia" w:ascii="宋体" w:hAnsi="宋体" w:eastAsia="宋体" w:cs="宋体"/>
                      <w:bCs/>
                      <w:sz w:val="21"/>
                      <w:szCs w:val="21"/>
                      <w:lang w:eastAsia="zh-CN"/>
                    </w:rPr>
                    <w:t>脱硫塔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670810" cy="2002790"/>
                        <wp:effectExtent l="0" t="0" r="15240" b="16510"/>
                        <wp:docPr id="17" name="图片 15" descr="IMG_20180608_09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0180608_094558"/>
                                <pic:cNvPicPr>
                                  <a:picLocks noChangeAspect="1"/>
                                </pic:cNvPicPr>
                              </pic:nvPicPr>
                              <pic:blipFill>
                                <a:blip r:embed="rId14"/>
                                <a:stretch>
                                  <a:fillRect/>
                                </a:stretch>
                              </pic:blipFill>
                              <pic:spPr>
                                <a:xfrm>
                                  <a:off x="0" y="0"/>
                                  <a:ext cx="2670810" cy="2002790"/>
                                </a:xfrm>
                                <a:prstGeom prst="rect">
                                  <a:avLst/>
                                </a:prstGeom>
                                <a:noFill/>
                                <a:ln w="9525">
                                  <a:noFill/>
                                </a:ln>
                              </pic:spPr>
                            </pic:pic>
                          </a:graphicData>
                        </a:graphic>
                      </wp:inline>
                    </w:drawing>
                  </w:r>
                </w:p>
              </w:tc>
              <w:tc>
                <w:tcPr>
                  <w:tcW w:w="4474" w:type="dxa"/>
                  <w:vAlign w:val="center"/>
                </w:tcPr>
                <w:p>
                  <w:pPr>
                    <w:snapToGrid w:val="0"/>
                    <w:spacing w:line="266" w:lineRule="atLeast"/>
                    <w:jc w:val="center"/>
                    <w:rPr>
                      <w:rFonts w:hint="eastAsia" w:eastAsia="仿宋_GB2312"/>
                      <w:bCs/>
                      <w:sz w:val="21"/>
                      <w:szCs w:val="21"/>
                      <w:lang w:eastAsia="zh-CN"/>
                    </w:rPr>
                  </w:pPr>
                  <w:r>
                    <w:rPr>
                      <w:rFonts w:hint="eastAsia" w:eastAsia="仿宋_GB2312"/>
                      <w:bCs/>
                      <w:sz w:val="21"/>
                      <w:szCs w:val="21"/>
                      <w:lang w:eastAsia="zh-CN"/>
                    </w:rPr>
                    <w:drawing>
                      <wp:inline distT="0" distB="0" distL="114300" distR="114300">
                        <wp:extent cx="2670810" cy="2002790"/>
                        <wp:effectExtent l="0" t="0" r="15240" b="16510"/>
                        <wp:docPr id="18" name="图片 16" descr="IMG_20180608_09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0180608_091936"/>
                                <pic:cNvPicPr>
                                  <a:picLocks noChangeAspect="1"/>
                                </pic:cNvPicPr>
                              </pic:nvPicPr>
                              <pic:blipFill>
                                <a:blip r:embed="rId15"/>
                                <a:stretch>
                                  <a:fillRect/>
                                </a:stretch>
                              </pic:blipFill>
                              <pic:spPr>
                                <a:xfrm>
                                  <a:off x="0" y="0"/>
                                  <a:ext cx="2670810" cy="20027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74" w:type="dxa"/>
                  <w:vAlign w:val="center"/>
                </w:tcPr>
                <w:p>
                  <w:pPr>
                    <w:snapToGrid w:val="0"/>
                    <w:spacing w:line="266"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快速隔膜压滤机</w:t>
                  </w:r>
                </w:p>
              </w:tc>
              <w:tc>
                <w:tcPr>
                  <w:tcW w:w="4474" w:type="dxa"/>
                  <w:vAlign w:val="center"/>
                </w:tcPr>
                <w:p>
                  <w:pPr>
                    <w:snapToGrid w:val="0"/>
                    <w:spacing w:line="266" w:lineRule="atLeast"/>
                    <w:jc w:val="center"/>
                    <w:rPr>
                      <w:rFonts w:hint="eastAsia" w:eastAsia="仿宋_GB2312"/>
                      <w:bCs/>
                      <w:sz w:val="21"/>
                      <w:szCs w:val="21"/>
                      <w:lang w:eastAsia="zh-CN"/>
                    </w:rPr>
                  </w:pPr>
                  <w:r>
                    <w:rPr>
                      <w:rFonts w:hint="eastAsia" w:ascii="宋体" w:hAnsi="宋体" w:eastAsia="宋体" w:cs="宋体"/>
                      <w:bCs/>
                      <w:sz w:val="21"/>
                      <w:szCs w:val="21"/>
                      <w:lang w:eastAsia="zh-CN"/>
                    </w:rPr>
                    <w:t>热风炉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gridSpan w:val="2"/>
                  <w:vAlign w:val="center"/>
                </w:tcPr>
                <w:p>
                  <w:pPr>
                    <w:snapToGrid w:val="0"/>
                    <w:spacing w:line="266" w:lineRule="atLeast"/>
                    <w:jc w:val="center"/>
                    <w:rPr>
                      <w:rFonts w:hint="eastAsia" w:ascii="宋体" w:hAnsi="宋体" w:eastAsia="宋体" w:cs="宋体"/>
                      <w:bCs/>
                      <w:sz w:val="21"/>
                      <w:szCs w:val="21"/>
                      <w:lang w:eastAsia="zh-CN"/>
                    </w:rPr>
                  </w:pPr>
                  <w:r>
                    <w:rPr>
                      <w:rFonts w:hint="eastAsia"/>
                      <w:kern w:val="0"/>
                      <w:lang w:val="en-US" w:eastAsia="zh-CN"/>
                    </w:rPr>
                    <w:drawing>
                      <wp:inline distT="0" distB="0" distL="114300" distR="114300">
                        <wp:extent cx="1663065" cy="2216785"/>
                        <wp:effectExtent l="0" t="0" r="13335" b="12065"/>
                        <wp:docPr id="8" name="图片 8" descr="IMG_20180608_09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80608_093624"/>
                                <pic:cNvPicPr>
                                  <a:picLocks noChangeAspect="1"/>
                                </pic:cNvPicPr>
                              </pic:nvPicPr>
                              <pic:blipFill>
                                <a:blip r:embed="rId16"/>
                                <a:stretch>
                                  <a:fillRect/>
                                </a:stretch>
                              </pic:blipFill>
                              <pic:spPr>
                                <a:xfrm>
                                  <a:off x="0" y="0"/>
                                  <a:ext cx="1663065" cy="2216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gridSpan w:val="2"/>
                  <w:vAlign w:val="center"/>
                </w:tcPr>
                <w:p>
                  <w:pPr>
                    <w:snapToGrid w:val="0"/>
                    <w:spacing w:line="266" w:lineRule="atLeast"/>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在脉冲袋式除尘器前增加的旋风除尘</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（3）主要建筑物</w:t>
            </w:r>
          </w:p>
          <w:p>
            <w:pPr>
              <w:keepNext w:val="0"/>
              <w:keepLines w:val="0"/>
              <w:pageBreakBefore w:val="0"/>
              <w:widowControl/>
              <w:kinsoku/>
              <w:wordWrap/>
              <w:overflowPunct/>
              <w:topLinePunct w:val="0"/>
              <w:autoSpaceDE/>
              <w:autoSpaceDN/>
              <w:bidi w:val="0"/>
              <w:adjustRightInd w:val="0"/>
              <w:snapToGrid w:val="0"/>
              <w:spacing w:after="0" w:line="360" w:lineRule="auto"/>
              <w:ind w:right="84" w:rightChars="38" w:firstLine="375" w:firstLineChars="179"/>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大阳煤矿洗煤厂干燥压滤车间建设三层钢筋混凝土结构厂房，建筑面积约1131m</w:t>
            </w:r>
            <w:r>
              <w:rPr>
                <w:rFonts w:hint="eastAsia" w:ascii="宋体" w:hAnsi="宋体" w:eastAsia="宋体" w:cs="宋体"/>
                <w:sz w:val="21"/>
                <w:szCs w:val="21"/>
                <w:vertAlign w:val="superscript"/>
              </w:rPr>
              <w:t>2</w:t>
            </w:r>
            <w:r>
              <w:rPr>
                <w:rFonts w:hint="eastAsia" w:ascii="宋体" w:hAnsi="宋体" w:eastAsia="宋体" w:cs="宋体"/>
                <w:sz w:val="21"/>
                <w:szCs w:val="21"/>
              </w:rPr>
              <w:t>。配套建设运输设备走廊、产品下料仓及集水池。环评及其批复决定建设的主要建筑物见表</w:t>
            </w:r>
            <w:r>
              <w:rPr>
                <w:rFonts w:hint="eastAsia" w:ascii="宋体" w:hAnsi="宋体" w:eastAsia="宋体" w:cs="宋体"/>
                <w:sz w:val="21"/>
                <w:szCs w:val="21"/>
                <w:lang w:val="en-US" w:eastAsia="zh-CN"/>
              </w:rPr>
              <w:t>2-4</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2-4  </w:t>
            </w:r>
            <w:r>
              <w:rPr>
                <w:rFonts w:hint="default" w:ascii="Times New Roman" w:hAnsi="Times New Roman" w:eastAsia="宋体" w:cs="Times New Roman"/>
                <w:b/>
                <w:bCs/>
                <w:sz w:val="21"/>
                <w:szCs w:val="21"/>
              </w:rPr>
              <w:t>项目主要建筑物一览表</w:t>
            </w:r>
          </w:p>
          <w:tbl>
            <w:tblPr>
              <w:tblStyle w:val="10"/>
              <w:tblW w:w="853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
              <w:gridCol w:w="979"/>
              <w:gridCol w:w="5625"/>
              <w:gridCol w:w="15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序号</w:t>
                  </w:r>
                </w:p>
              </w:tc>
              <w:tc>
                <w:tcPr>
                  <w:tcW w:w="9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建构筑物名称</w:t>
                  </w:r>
                </w:p>
              </w:tc>
              <w:tc>
                <w:tcPr>
                  <w:tcW w:w="56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结构面积</w:t>
                  </w:r>
                </w:p>
              </w:tc>
              <w:tc>
                <w:tcPr>
                  <w:tcW w:w="15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实际建设与环评相符性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1</w:t>
                  </w:r>
                </w:p>
              </w:tc>
              <w:tc>
                <w:tcPr>
                  <w:tcW w:w="9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干燥车间厂房</w:t>
                  </w:r>
                </w:p>
              </w:tc>
              <w:tc>
                <w:tcPr>
                  <w:tcW w:w="56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烘干车间厂房长29米、宽13米、高19.5米；建筑面积约1131m</w:t>
                  </w:r>
                  <w:r>
                    <w:rPr>
                      <w:rFonts w:hint="eastAsia" w:asciiTheme="minorEastAsia" w:hAnsiTheme="minorEastAsia" w:eastAsiaTheme="minorEastAsia" w:cstheme="minorEastAsia"/>
                      <w:b w:val="0"/>
                      <w:bCs/>
                      <w:sz w:val="18"/>
                      <w:szCs w:val="18"/>
                      <w:vertAlign w:val="superscript"/>
                    </w:rPr>
                    <w:t>2</w:t>
                  </w:r>
                  <w:r>
                    <w:rPr>
                      <w:rFonts w:hint="eastAsia" w:asciiTheme="minorEastAsia" w:hAnsiTheme="minorEastAsia" w:eastAsiaTheme="minorEastAsia" w:cstheme="minorEastAsia"/>
                      <w:b w:val="0"/>
                      <w:bCs/>
                      <w:sz w:val="18"/>
                      <w:szCs w:val="18"/>
                    </w:rPr>
                    <w:t>；占地面积约1131m</w:t>
                  </w:r>
                  <w:r>
                    <w:rPr>
                      <w:rFonts w:hint="eastAsia" w:asciiTheme="minorEastAsia" w:hAnsiTheme="minorEastAsia" w:eastAsiaTheme="minorEastAsia" w:cstheme="minorEastAsia"/>
                      <w:b w:val="0"/>
                      <w:bCs/>
                      <w:sz w:val="18"/>
                      <w:szCs w:val="18"/>
                      <w:vertAlign w:val="superscript"/>
                    </w:rPr>
                    <w:t>2</w:t>
                  </w:r>
                  <w:r>
                    <w:rPr>
                      <w:rFonts w:hint="eastAsia" w:asciiTheme="minorEastAsia" w:hAnsiTheme="minorEastAsia" w:eastAsiaTheme="minorEastAsia" w:cstheme="minorEastAsia"/>
                      <w:b w:val="0"/>
                      <w:bCs/>
                      <w:sz w:val="18"/>
                      <w:szCs w:val="18"/>
                    </w:rPr>
                    <w:t>。车间采用钢筋混凝土结构。一层主要布置热风炉、滚筒</w:t>
                  </w:r>
                  <w:r>
                    <w:rPr>
                      <w:rFonts w:hint="eastAsia" w:asciiTheme="minorEastAsia" w:hAnsiTheme="minorEastAsia" w:eastAsiaTheme="minorEastAsia" w:cstheme="minorEastAsia"/>
                      <w:b w:val="0"/>
                      <w:bCs/>
                      <w:sz w:val="18"/>
                      <w:szCs w:val="18"/>
                      <w:lang w:eastAsia="zh-CN"/>
                    </w:rPr>
                    <w:t>干</w:t>
                  </w:r>
                  <w:r>
                    <w:rPr>
                      <w:rFonts w:hint="eastAsia" w:asciiTheme="minorEastAsia" w:hAnsiTheme="minorEastAsia" w:eastAsiaTheme="minorEastAsia" w:cstheme="minorEastAsia"/>
                      <w:b w:val="0"/>
                      <w:bCs/>
                      <w:sz w:val="18"/>
                      <w:szCs w:val="18"/>
                    </w:rPr>
                    <w:t>燥机、干煤泥运输、除尘水泵和车间供配电控制系统等设备，二层布置压滤煤泥运输设施和除尘设备，三层布置压滤设备。</w:t>
                  </w:r>
                </w:p>
              </w:tc>
              <w:tc>
                <w:tcPr>
                  <w:tcW w:w="15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2</w:t>
                  </w:r>
                </w:p>
              </w:tc>
              <w:tc>
                <w:tcPr>
                  <w:tcW w:w="9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运输设备走廊</w:t>
                  </w:r>
                </w:p>
              </w:tc>
              <w:tc>
                <w:tcPr>
                  <w:tcW w:w="56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地面以下采用混凝土结构，地面以上采用简钢结构</w:t>
                  </w:r>
                </w:p>
              </w:tc>
              <w:tc>
                <w:tcPr>
                  <w:tcW w:w="15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3</w:t>
                  </w:r>
                </w:p>
              </w:tc>
              <w:tc>
                <w:tcPr>
                  <w:tcW w:w="9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产品下料仓</w:t>
                  </w:r>
                </w:p>
              </w:tc>
              <w:tc>
                <w:tcPr>
                  <w:tcW w:w="56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长宽均为6米，高12.2米，面积36㎡，四面挡墙，预留车辆进口</w:t>
                  </w:r>
                </w:p>
              </w:tc>
              <w:tc>
                <w:tcPr>
                  <w:tcW w:w="15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40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4</w:t>
                  </w:r>
                </w:p>
              </w:tc>
              <w:tc>
                <w:tcPr>
                  <w:tcW w:w="9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rPr>
                  </w:pPr>
                  <w:r>
                    <w:rPr>
                      <w:rFonts w:hint="eastAsia" w:asciiTheme="minorEastAsia" w:hAnsiTheme="minorEastAsia" w:eastAsiaTheme="minorEastAsia" w:cstheme="minorEastAsia"/>
                      <w:b w:val="0"/>
                      <w:bCs/>
                      <w:sz w:val="18"/>
                      <w:szCs w:val="18"/>
                    </w:rPr>
                    <w:t>集水池</w:t>
                  </w:r>
                </w:p>
              </w:tc>
              <w:tc>
                <w:tcPr>
                  <w:tcW w:w="56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rPr>
                    <w:t>设在烘干车间内，容积25m</w:t>
                  </w:r>
                  <w:r>
                    <w:rPr>
                      <w:rFonts w:hint="eastAsia" w:asciiTheme="minorEastAsia" w:hAnsiTheme="minorEastAsia" w:eastAsiaTheme="minorEastAsia" w:cstheme="minorEastAsia"/>
                      <w:b w:val="0"/>
                      <w:bCs/>
                      <w:sz w:val="18"/>
                      <w:szCs w:val="18"/>
                      <w:vertAlign w:val="superscript"/>
                      <w:lang w:val="en-US" w:eastAsia="zh-CN"/>
                    </w:rPr>
                    <w:t>3</w:t>
                  </w:r>
                </w:p>
              </w:tc>
              <w:tc>
                <w:tcPr>
                  <w:tcW w:w="152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Theme="minorEastAsia" w:hAnsiTheme="minorEastAsia" w:eastAsiaTheme="minorEastAsia" w:cstheme="minorEastAsia"/>
                      <w:b w:val="0"/>
                      <w:bCs/>
                      <w:sz w:val="18"/>
                      <w:szCs w:val="18"/>
                      <w:lang w:eastAsia="zh-CN"/>
                    </w:rPr>
                  </w:pPr>
                  <w:r>
                    <w:rPr>
                      <w:rFonts w:hint="eastAsia" w:asciiTheme="minorEastAsia" w:hAnsiTheme="minorEastAsia" w:eastAsiaTheme="minorEastAsia" w:cstheme="minorEastAsia"/>
                      <w:b w:val="0"/>
                      <w:bCs/>
                      <w:sz w:val="18"/>
                      <w:szCs w:val="18"/>
                      <w:lang w:eastAsia="zh-CN"/>
                    </w:rPr>
                    <w:t>与环评一致</w:t>
                  </w:r>
                </w:p>
              </w:tc>
            </w:tr>
            <w:bookmarkEnd w:id="11"/>
            <w:bookmarkEnd w:id="12"/>
            <w:bookmarkEnd w:id="13"/>
          </w:tbl>
          <w:p>
            <w:pPr>
              <w:pStyle w:val="4"/>
              <w:rPr>
                <w:rFonts w:hint="eastAsia" w:ascii="Times New Roman" w:hAnsi="Times New Roman" w:cs="Times New Roman"/>
                <w:lang w:val="en-US" w:eastAsia="zh-CN"/>
              </w:rPr>
            </w:pP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kern w:val="0"/>
                      <w:sz w:val="21"/>
                      <w:szCs w:val="21"/>
                      <w:vertAlign w:val="baseline"/>
                      <w:lang w:val="en-US" w:eastAsia="zh-CN"/>
                    </w:rPr>
                    <w:drawing>
                      <wp:inline distT="0" distB="0" distL="114300" distR="114300">
                        <wp:extent cx="2519680" cy="1889760"/>
                        <wp:effectExtent l="0" t="0" r="13970" b="15240"/>
                        <wp:docPr id="19" name="图片 19" descr="IMG_20180608_09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0608_090122"/>
                                <pic:cNvPicPr>
                                  <a:picLocks noChangeAspect="1"/>
                                </pic:cNvPicPr>
                              </pic:nvPicPr>
                              <pic:blipFill>
                                <a:blip r:embed="rId17"/>
                                <a:stretch>
                                  <a:fillRect/>
                                </a:stretch>
                              </pic:blipFill>
                              <pic:spPr>
                                <a:xfrm>
                                  <a:off x="0" y="0"/>
                                  <a:ext cx="2519680" cy="1889760"/>
                                </a:xfrm>
                                <a:prstGeom prst="rect">
                                  <a:avLst/>
                                </a:prstGeom>
                              </pic:spPr>
                            </pic:pic>
                          </a:graphicData>
                        </a:graphic>
                      </wp:inline>
                    </w:drawing>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kern w:val="0"/>
                      <w:sz w:val="21"/>
                      <w:szCs w:val="21"/>
                      <w:vertAlign w:val="baseline"/>
                      <w:lang w:val="en-US" w:eastAsia="zh-CN"/>
                    </w:rPr>
                    <w:drawing>
                      <wp:inline distT="0" distB="0" distL="114300" distR="114300">
                        <wp:extent cx="2519680" cy="1889760"/>
                        <wp:effectExtent l="0" t="0" r="13970" b="15240"/>
                        <wp:docPr id="20" name="图片 20" descr="IMG_20180608_09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0608_090258"/>
                                <pic:cNvPicPr>
                                  <a:picLocks noChangeAspect="1"/>
                                </pic:cNvPicPr>
                              </pic:nvPicPr>
                              <pic:blipFill>
                                <a:blip r:embed="rId18"/>
                                <a:stretch>
                                  <a:fillRect/>
                                </a:stretch>
                              </pic:blipFill>
                              <pic:spPr>
                                <a:xfrm>
                                  <a:off x="0" y="0"/>
                                  <a:ext cx="2519680" cy="1889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宋体" w:hAnsi="宋体" w:eastAsia="宋体" w:cs="宋体"/>
                      <w:kern w:val="0"/>
                      <w:sz w:val="21"/>
                      <w:szCs w:val="21"/>
                      <w:vertAlign w:val="baseline"/>
                      <w:lang w:val="en-US" w:eastAsia="zh-CN"/>
                    </w:rPr>
                  </w:pPr>
                  <w:r>
                    <w:rPr>
                      <w:rFonts w:hint="eastAsia" w:ascii="宋体" w:hAnsi="宋体" w:eastAsia="宋体" w:cs="宋体"/>
                      <w:kern w:val="0"/>
                      <w:sz w:val="21"/>
                      <w:szCs w:val="21"/>
                      <w:vertAlign w:val="baseline"/>
                      <w:lang w:val="en-US" w:eastAsia="zh-CN"/>
                    </w:rPr>
                    <w:t>干燥车间厂房</w:t>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ascii="宋体" w:hAnsi="宋体" w:eastAsia="宋体" w:cs="宋体"/>
                      <w:kern w:val="0"/>
                      <w:sz w:val="21"/>
                      <w:szCs w:val="21"/>
                      <w:vertAlign w:val="baseline"/>
                      <w:lang w:val="en-US" w:eastAsia="zh-CN"/>
                    </w:rPr>
                    <w:t>运输设备走廊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kern w:val="0"/>
                      <w:sz w:val="21"/>
                      <w:szCs w:val="21"/>
                      <w:vertAlign w:val="baseline"/>
                      <w:lang w:val="en-US" w:eastAsia="zh-CN"/>
                    </w:rPr>
                    <w:drawing>
                      <wp:inline distT="0" distB="0" distL="114300" distR="114300">
                        <wp:extent cx="1912620" cy="2550160"/>
                        <wp:effectExtent l="0" t="0" r="11430" b="2540"/>
                        <wp:docPr id="21" name="图片 21" descr="IMG_20180608_09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80608_090344"/>
                                <pic:cNvPicPr>
                                  <a:picLocks noChangeAspect="1"/>
                                </pic:cNvPicPr>
                              </pic:nvPicPr>
                              <pic:blipFill>
                                <a:blip r:embed="rId19"/>
                                <a:stretch>
                                  <a:fillRect/>
                                </a:stretch>
                              </pic:blipFill>
                              <pic:spPr>
                                <a:xfrm>
                                  <a:off x="0" y="0"/>
                                  <a:ext cx="1912620" cy="2550160"/>
                                </a:xfrm>
                                <a:prstGeom prst="rect">
                                  <a:avLst/>
                                </a:prstGeom>
                              </pic:spPr>
                            </pic:pic>
                          </a:graphicData>
                        </a:graphic>
                      </wp:inline>
                    </w:drawing>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kern w:val="0"/>
                      <w:sz w:val="21"/>
                      <w:szCs w:val="21"/>
                      <w:vertAlign w:val="baseline"/>
                      <w:lang w:val="en-US" w:eastAsia="zh-CN"/>
                    </w:rPr>
                    <w:drawing>
                      <wp:inline distT="0" distB="0" distL="114300" distR="114300">
                        <wp:extent cx="1951355" cy="2602230"/>
                        <wp:effectExtent l="0" t="0" r="10795" b="7620"/>
                        <wp:docPr id="22" name="图片 22" descr="IMG_20180608_0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80608_091647"/>
                                <pic:cNvPicPr>
                                  <a:picLocks noChangeAspect="1"/>
                                </pic:cNvPicPr>
                              </pic:nvPicPr>
                              <pic:blipFill>
                                <a:blip r:embed="rId20"/>
                                <a:stretch>
                                  <a:fillRect/>
                                </a:stretch>
                              </pic:blipFill>
                              <pic:spPr>
                                <a:xfrm>
                                  <a:off x="0" y="0"/>
                                  <a:ext cx="1951355" cy="26022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ascii="宋体" w:hAnsi="宋体" w:eastAsia="宋体" w:cs="宋体"/>
                      <w:kern w:val="0"/>
                      <w:sz w:val="21"/>
                      <w:szCs w:val="21"/>
                      <w:vertAlign w:val="baseline"/>
                      <w:lang w:val="en-US" w:eastAsia="zh-CN"/>
                    </w:rPr>
                    <w:t>产品下料仓</w:t>
                  </w:r>
                </w:p>
              </w:tc>
              <w:tc>
                <w:tcPr>
                  <w:tcW w:w="42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kern w:val="0"/>
                      <w:sz w:val="21"/>
                      <w:szCs w:val="21"/>
                      <w:vertAlign w:val="baseline"/>
                      <w:lang w:val="en-US" w:eastAsia="zh-CN"/>
                    </w:rPr>
                  </w:pPr>
                  <w:r>
                    <w:rPr>
                      <w:rFonts w:hint="eastAsia" w:ascii="宋体" w:hAnsi="宋体" w:eastAsia="宋体" w:cs="宋体"/>
                      <w:kern w:val="0"/>
                      <w:sz w:val="21"/>
                      <w:szCs w:val="21"/>
                      <w:vertAlign w:val="baseline"/>
                      <w:lang w:val="en-US" w:eastAsia="zh-CN"/>
                    </w:rPr>
                    <w:t>集水池</w:t>
                  </w:r>
                </w:p>
              </w:tc>
            </w:tr>
          </w:tbl>
          <w:p>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  </w:t>
            </w:r>
          </w:p>
          <w:p>
            <w:pPr>
              <w:keepNext w:val="0"/>
              <w:keepLines w:val="0"/>
              <w:pageBreakBefore w:val="0"/>
              <w:widowControl/>
              <w:numPr>
                <w:ilvl w:val="0"/>
                <w:numId w:val="3"/>
              </w:numPr>
              <w:kinsoku/>
              <w:wordWrap/>
              <w:overflowPunct/>
              <w:topLinePunct w:val="0"/>
              <w:autoSpaceDE/>
              <w:autoSpaceDN/>
              <w:bidi w:val="0"/>
              <w:adjustRightInd w:val="0"/>
              <w:snapToGrid w:val="0"/>
              <w:spacing w:after="0" w:line="360" w:lineRule="auto"/>
              <w:textAlignment w:val="auto"/>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劳动定员和生产组织</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本项目劳动定员24人，年工作时间330天，设备运行三班制，两班生产，一班检修，日烘干16小时。项目无办公生活设施，职工办公生活依托大阳煤矿。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b/>
                <w:bCs/>
                <w:color w:val="000000"/>
                <w:sz w:val="21"/>
                <w:szCs w:val="21"/>
              </w:rPr>
            </w:pPr>
            <w:r>
              <w:rPr>
                <w:rFonts w:hint="eastAsia" w:ascii="宋体" w:hAnsi="宋体" w:eastAsia="宋体"/>
                <w:b/>
                <w:bCs/>
                <w:color w:val="000000"/>
                <w:sz w:val="21"/>
                <w:szCs w:val="21"/>
              </w:rPr>
              <w:t>原辅材料消耗及水平衡：</w:t>
            </w:r>
          </w:p>
          <w:p>
            <w:pPr>
              <w:pStyle w:val="4"/>
              <w:pageBreakBefore w:val="0"/>
              <w:kinsoku/>
              <w:wordWrap/>
              <w:overflowPunct/>
              <w:topLinePunct w:val="0"/>
              <w:autoSpaceDE/>
              <w:autoSpaceDN/>
              <w:bidi w:val="0"/>
              <w:spacing w:after="0" w:line="360" w:lineRule="auto"/>
              <w:textAlignment w:val="auto"/>
              <w:rPr>
                <w:rFonts w:hint="eastAsia" w:ascii="Times New Roman" w:hAnsi="Times New Roman" w:eastAsia="宋体" w:cs="Times New Roman"/>
                <w:b w:val="0"/>
                <w:bCs w:val="0"/>
                <w:sz w:val="21"/>
                <w:szCs w:val="21"/>
                <w:lang w:eastAsia="zh-CN"/>
              </w:rPr>
            </w:pPr>
            <w:bookmarkStart w:id="14" w:name="_Toc2975"/>
            <w:r>
              <w:rPr>
                <w:rFonts w:hint="eastAsia" w:cs="Times New Roman"/>
                <w:b w:val="0"/>
                <w:bCs w:val="0"/>
                <w:sz w:val="21"/>
                <w:szCs w:val="21"/>
                <w:lang w:val="en-US" w:eastAsia="zh-CN"/>
              </w:rPr>
              <w:t>1、</w:t>
            </w:r>
            <w:r>
              <w:rPr>
                <w:rFonts w:hint="eastAsia" w:ascii="Times New Roman" w:hAnsi="Times New Roman" w:cs="Times New Roman"/>
                <w:b w:val="0"/>
                <w:bCs w:val="0"/>
                <w:sz w:val="21"/>
                <w:szCs w:val="21"/>
                <w:lang w:eastAsia="zh-CN"/>
              </w:rPr>
              <w:t>主要原辅材料及燃料</w:t>
            </w:r>
            <w:bookmarkEnd w:id="14"/>
          </w:p>
          <w:p>
            <w:pPr>
              <w:pageBreakBefore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原辅材料及能源消耗表见表</w:t>
            </w:r>
            <w:r>
              <w:rPr>
                <w:rFonts w:hint="eastAsia" w:ascii="Times New Roman" w:hAnsi="Times New Roman" w:eastAsia="宋体" w:cs="Times New Roman"/>
                <w:b w:val="0"/>
                <w:bCs w:val="0"/>
                <w:sz w:val="21"/>
                <w:szCs w:val="21"/>
                <w:lang w:val="en-US" w:eastAsia="zh-CN"/>
              </w:rPr>
              <w:t>2-5</w:t>
            </w:r>
            <w:r>
              <w:rPr>
                <w:rFonts w:hint="default" w:ascii="Times New Roman" w:hAnsi="Times New Roman" w:eastAsia="宋体" w:cs="Times New Roman"/>
                <w:b w:val="0"/>
                <w:bCs w:val="0"/>
                <w:sz w:val="21"/>
                <w:szCs w:val="21"/>
              </w:rPr>
              <w:t>。</w:t>
            </w:r>
          </w:p>
          <w:p>
            <w:pPr>
              <w:pageBreakBefore w:val="0"/>
              <w:kinsoku/>
              <w:wordWrap/>
              <w:overflowPunct/>
              <w:topLinePunct w:val="0"/>
              <w:autoSpaceDE/>
              <w:autoSpaceDN/>
              <w:bidi w:val="0"/>
              <w:spacing w:after="0"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2-5  </w:t>
            </w:r>
            <w:r>
              <w:rPr>
                <w:rFonts w:hint="default" w:ascii="Times New Roman" w:hAnsi="Times New Roman" w:eastAsia="宋体" w:cs="Times New Roman"/>
                <w:b/>
                <w:bCs/>
                <w:sz w:val="21"/>
                <w:szCs w:val="21"/>
              </w:rPr>
              <w:t>原辅材料及能源消耗表</w:t>
            </w:r>
          </w:p>
          <w:tbl>
            <w:tblPr>
              <w:tblStyle w:val="10"/>
              <w:tblW w:w="6752"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30"/>
              <w:gridCol w:w="1081"/>
              <w:gridCol w:w="1890"/>
              <w:gridCol w:w="1305"/>
              <w:gridCol w:w="184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63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序号</w:t>
                  </w:r>
                </w:p>
              </w:tc>
              <w:tc>
                <w:tcPr>
                  <w:tcW w:w="2971" w:type="dxa"/>
                  <w:gridSpan w:val="2"/>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名称</w:t>
                  </w:r>
                </w:p>
              </w:tc>
              <w:tc>
                <w:tcPr>
                  <w:tcW w:w="1305"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单位</w:t>
                  </w:r>
                </w:p>
              </w:tc>
              <w:tc>
                <w:tcPr>
                  <w:tcW w:w="1846"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消耗量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jc w:val="center"/>
              </w:trPr>
              <w:tc>
                <w:tcPr>
                  <w:tcW w:w="63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971" w:type="dxa"/>
                  <w:gridSpan w:val="2"/>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湿煤泥</w:t>
                  </w:r>
                </w:p>
              </w:tc>
              <w:tc>
                <w:tcPr>
                  <w:tcW w:w="1305"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万t/a</w:t>
                  </w:r>
                </w:p>
              </w:tc>
              <w:tc>
                <w:tcPr>
                  <w:tcW w:w="1846"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jc w:val="center"/>
              </w:trPr>
              <w:tc>
                <w:tcPr>
                  <w:tcW w:w="63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2971" w:type="dxa"/>
                  <w:gridSpan w:val="2"/>
                  <w:tcBorders>
                    <w:tl2br w:val="nil"/>
                    <w:tr2bl w:val="nil"/>
                  </w:tcBorders>
                  <w:vAlign w:val="center"/>
                </w:tcPr>
                <w:p>
                  <w:pPr>
                    <w:keepNext w:val="0"/>
                    <w:keepLines w:val="0"/>
                    <w:pageBreakBefore w:val="0"/>
                    <w:kinsoku w:val="0"/>
                    <w:wordWrap/>
                    <w:overflowPunct w:val="0"/>
                    <w:topLinePunct w:val="0"/>
                    <w:autoSpaceDE w:val="0"/>
                    <w:autoSpaceDN w:val="0"/>
                    <w:bidi w:val="0"/>
                    <w:spacing w:after="0" w:line="276" w:lineRule="auto"/>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燃料煤</w:t>
                  </w:r>
                </w:p>
              </w:tc>
              <w:tc>
                <w:tcPr>
                  <w:tcW w:w="1305"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t/a</w:t>
                  </w:r>
                </w:p>
              </w:tc>
              <w:tc>
                <w:tcPr>
                  <w:tcW w:w="1846"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5655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jc w:val="center"/>
              </w:trPr>
              <w:tc>
                <w:tcPr>
                  <w:tcW w:w="63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081" w:type="dxa"/>
                  <w:vMerge w:val="restart"/>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脱硫剂</w:t>
                  </w:r>
                </w:p>
              </w:tc>
              <w:tc>
                <w:tcPr>
                  <w:tcW w:w="189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火碱</w:t>
                  </w:r>
                </w:p>
              </w:tc>
              <w:tc>
                <w:tcPr>
                  <w:tcW w:w="1305"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t/a</w:t>
                  </w:r>
                </w:p>
              </w:tc>
              <w:tc>
                <w:tcPr>
                  <w:tcW w:w="1846"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jc w:val="center"/>
              </w:trPr>
              <w:tc>
                <w:tcPr>
                  <w:tcW w:w="63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081" w:type="dxa"/>
                  <w:vMerge w:val="continue"/>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p>
              </w:tc>
              <w:tc>
                <w:tcPr>
                  <w:tcW w:w="1890"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磷酸三钠</w:t>
                  </w:r>
                </w:p>
              </w:tc>
              <w:tc>
                <w:tcPr>
                  <w:tcW w:w="1305"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t/a</w:t>
                  </w:r>
                </w:p>
              </w:tc>
              <w:tc>
                <w:tcPr>
                  <w:tcW w:w="1846" w:type="dxa"/>
                  <w:tcBorders>
                    <w:tl2br w:val="nil"/>
                    <w:tr2bl w:val="nil"/>
                  </w:tcBorders>
                  <w:vAlign w:val="center"/>
                </w:tcPr>
                <w:p>
                  <w:pPr>
                    <w:keepNext w:val="0"/>
                    <w:keepLines w:val="0"/>
                    <w:pageBreakBefore w:val="0"/>
                    <w:kinsoku w:val="0"/>
                    <w:wordWrap/>
                    <w:overflowPunct w:val="0"/>
                    <w:topLinePunct w:val="0"/>
                    <w:autoSpaceDE w:val="0"/>
                    <w:autoSpaceDN w:val="0"/>
                    <w:bidi w:val="0"/>
                    <w:spacing w:after="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0.7</w:t>
                  </w:r>
                </w:p>
              </w:tc>
            </w:tr>
          </w:tbl>
          <w:p>
            <w:pPr>
              <w:pStyle w:val="4"/>
              <w:pageBreakBefore w:val="0"/>
              <w:kinsoku/>
              <w:wordWrap/>
              <w:overflowPunct/>
              <w:topLinePunct w:val="0"/>
              <w:autoSpaceDE/>
              <w:autoSpaceDN/>
              <w:bidi w:val="0"/>
              <w:spacing w:after="0" w:line="360" w:lineRule="auto"/>
              <w:textAlignment w:val="auto"/>
              <w:rPr>
                <w:rFonts w:hint="eastAsia" w:ascii="Times New Roman" w:hAnsi="Times New Roman" w:cs="Times New Roman"/>
                <w:b w:val="0"/>
                <w:bCs w:val="0"/>
                <w:color w:val="000000"/>
                <w:sz w:val="21"/>
                <w:szCs w:val="21"/>
                <w:lang w:eastAsia="zh-CN"/>
              </w:rPr>
            </w:pPr>
            <w:bookmarkStart w:id="15" w:name="_Toc6152"/>
            <w:r>
              <w:rPr>
                <w:rFonts w:hint="eastAsia" w:cs="Times New Roman"/>
                <w:b w:val="0"/>
                <w:bCs w:val="0"/>
                <w:color w:val="000000"/>
                <w:sz w:val="21"/>
                <w:szCs w:val="21"/>
                <w:lang w:val="en-US" w:eastAsia="zh-CN"/>
              </w:rPr>
              <w:t>2、</w:t>
            </w:r>
            <w:r>
              <w:rPr>
                <w:rFonts w:hint="eastAsia" w:ascii="Times New Roman" w:hAnsi="Times New Roman" w:cs="Times New Roman"/>
                <w:b w:val="0"/>
                <w:bCs w:val="0"/>
                <w:color w:val="000000"/>
                <w:sz w:val="21"/>
                <w:szCs w:val="21"/>
                <w:lang w:eastAsia="zh-CN"/>
              </w:rPr>
              <w:t>水源及水平衡</w:t>
            </w:r>
            <w:bookmarkEnd w:id="15"/>
          </w:p>
          <w:p>
            <w:pPr>
              <w:pageBreakBefore w:val="0"/>
              <w:kinsoku/>
              <w:wordWrap/>
              <w:overflowPunct/>
              <w:topLinePunct w:val="0"/>
              <w:autoSpaceDE/>
              <w:autoSpaceDN/>
              <w:bidi w:val="0"/>
              <w:spacing w:after="0" w:line="360" w:lineRule="auto"/>
              <w:ind w:firstLine="420" w:firstLineChars="20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（1）给水</w:t>
            </w:r>
          </w:p>
          <w:p>
            <w:pPr>
              <w:pageBreakBefore w:val="0"/>
              <w:kinsoku/>
              <w:wordWrap/>
              <w:overflowPunct/>
              <w:topLinePunct w:val="0"/>
              <w:autoSpaceDE/>
              <w:autoSpaceDN/>
              <w:bidi w:val="0"/>
              <w:spacing w:after="0" w:line="360" w:lineRule="auto"/>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项目生活用水取自厂区内的深井，生产用水来自矿井水处理站的出水</w:t>
            </w:r>
            <w:r>
              <w:rPr>
                <w:rFonts w:hint="eastAsia" w:asciiTheme="minorEastAsia" w:hAnsiTheme="minorEastAsia" w:eastAsiaTheme="minorEastAsia" w:cstheme="minorEastAsia"/>
                <w:sz w:val="21"/>
                <w:szCs w:val="21"/>
                <w:lang w:eastAsia="zh-CN"/>
              </w:rPr>
              <w:t>。</w:t>
            </w:r>
          </w:p>
          <w:p>
            <w:pPr>
              <w:pageBreakBefore w:val="0"/>
              <w:numPr>
                <w:ilvl w:val="0"/>
                <w:numId w:val="0"/>
              </w:numPr>
              <w:kinsoku/>
              <w:wordWrap/>
              <w:overflowPunct/>
              <w:topLinePunct w:val="0"/>
              <w:autoSpaceDE/>
              <w:autoSpaceDN/>
              <w:bidi w:val="0"/>
              <w:spacing w:after="0" w:line="360" w:lineRule="auto"/>
              <w:ind w:right="84" w:rightChars="38"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①</w:t>
            </w:r>
            <w:r>
              <w:rPr>
                <w:rFonts w:hint="eastAsia" w:asciiTheme="minorEastAsia" w:hAnsiTheme="minorEastAsia" w:eastAsiaTheme="minorEastAsia" w:cstheme="minorEastAsia"/>
                <w:sz w:val="21"/>
                <w:szCs w:val="21"/>
              </w:rPr>
              <w:t>循环水</w:t>
            </w:r>
          </w:p>
          <w:p>
            <w:pPr>
              <w:pageBreakBefore w:val="0"/>
              <w:numPr>
                <w:ilvl w:val="0"/>
                <w:numId w:val="0"/>
              </w:numPr>
              <w:kinsoku/>
              <w:wordWrap/>
              <w:overflowPunct/>
              <w:topLinePunct w:val="0"/>
              <w:autoSpaceDE/>
              <w:autoSpaceDN/>
              <w:bidi w:val="0"/>
              <w:spacing w:after="0" w:line="360" w:lineRule="auto"/>
              <w:ind w:right="84" w:rightChars="38"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本项目用水环节为脱硫塔循环水补充水。本项目燃烧炉产生的烟气经</w:t>
            </w:r>
            <w:r>
              <w:rPr>
                <w:rFonts w:hint="eastAsia" w:asciiTheme="minorEastAsia" w:hAnsiTheme="minorEastAsia" w:eastAsiaTheme="minorEastAsia" w:cstheme="minorEastAsia"/>
                <w:sz w:val="21"/>
                <w:szCs w:val="21"/>
                <w:lang w:eastAsia="zh-CN"/>
              </w:rPr>
              <w:t>旋风除尘器、</w:t>
            </w:r>
            <w:r>
              <w:rPr>
                <w:rFonts w:hint="eastAsia" w:asciiTheme="minorEastAsia" w:hAnsiTheme="minorEastAsia" w:eastAsiaTheme="minorEastAsia" w:cstheme="minorEastAsia"/>
                <w:sz w:val="21"/>
                <w:szCs w:val="21"/>
              </w:rPr>
              <w:t>气箱脉冲除尘器及脱硫塔处理，除尘过程中高温烟气及除尘灰会带走部分水分，每天脱硫系统需补充水分。本项目脱硫塔循环水量为</w:t>
            </w:r>
            <w:r>
              <w:rPr>
                <w:rFonts w:hint="eastAsia" w:ascii="Times New Roman" w:hAnsi="Times New Roman" w:eastAsia="宋体" w:cs="Times New Roman"/>
                <w:sz w:val="21"/>
                <w:szCs w:val="21"/>
              </w:rPr>
              <w:t>1.25m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/h</w:t>
            </w:r>
            <w:r>
              <w:rPr>
                <w:rFonts w:hint="eastAsia" w:asciiTheme="minorEastAsia" w:hAnsiTheme="minorEastAsia" w:eastAsiaTheme="minorEastAsia" w:cstheme="minorEastAsia"/>
                <w:sz w:val="21"/>
                <w:szCs w:val="21"/>
              </w:rPr>
              <w:t>，每天补水量为循环水量的</w:t>
            </w:r>
            <w:r>
              <w:rPr>
                <w:rFonts w:hint="eastAsia" w:ascii="Times New Roman" w:hAnsi="Times New Roman" w:eastAsia="宋体" w:cs="Times New Roman"/>
                <w:sz w:val="21"/>
                <w:szCs w:val="21"/>
              </w:rPr>
              <w:t>2%</w:t>
            </w:r>
            <w:r>
              <w:rPr>
                <w:rFonts w:hint="eastAsia" w:asciiTheme="minorEastAsia" w:hAnsiTheme="minorEastAsia" w:eastAsiaTheme="minorEastAsia" w:cstheme="minorEastAsia"/>
                <w:sz w:val="21"/>
                <w:szCs w:val="21"/>
              </w:rPr>
              <w:t>，每天需补充的新鲜水量为</w:t>
            </w:r>
            <w:r>
              <w:rPr>
                <w:rFonts w:hint="eastAsia" w:ascii="Times New Roman" w:hAnsi="Times New Roman" w:eastAsia="宋体" w:cs="Times New Roman"/>
                <w:sz w:val="21"/>
                <w:szCs w:val="21"/>
              </w:rPr>
              <w:t>0.4m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rPr>
              <w:t>/d</w:t>
            </w:r>
            <w:r>
              <w:rPr>
                <w:rFonts w:hint="eastAsia" w:asciiTheme="minorEastAsia" w:hAnsiTheme="minorEastAsia" w:eastAsiaTheme="minorEastAsia" w:cstheme="minorEastAsia"/>
                <w:sz w:val="21"/>
                <w:szCs w:val="21"/>
              </w:rPr>
              <w:t>。</w:t>
            </w:r>
          </w:p>
          <w:p>
            <w:pPr>
              <w:pageBreakBefore w:val="0"/>
              <w:numPr>
                <w:ilvl w:val="0"/>
                <w:numId w:val="0"/>
              </w:numPr>
              <w:kinsoku/>
              <w:wordWrap/>
              <w:overflowPunct/>
              <w:topLinePunct w:val="0"/>
              <w:autoSpaceDE/>
              <w:autoSpaceDN/>
              <w:bidi w:val="0"/>
              <w:spacing w:after="0" w:line="360" w:lineRule="auto"/>
              <w:ind w:leftChars="196" w:right="84" w:rightChars="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②</w:t>
            </w:r>
            <w:r>
              <w:rPr>
                <w:rFonts w:hint="eastAsia" w:asciiTheme="minorEastAsia" w:hAnsiTheme="minorEastAsia" w:eastAsiaTheme="minorEastAsia" w:cstheme="minorEastAsia"/>
                <w:sz w:val="21"/>
                <w:szCs w:val="21"/>
              </w:rPr>
              <w:t>车间用水</w:t>
            </w:r>
          </w:p>
          <w:p>
            <w:pPr>
              <w:pageBreakBefore w:val="0"/>
              <w:numPr>
                <w:ilvl w:val="0"/>
                <w:numId w:val="0"/>
              </w:numPr>
              <w:kinsoku/>
              <w:wordWrap/>
              <w:overflowPunct/>
              <w:topLinePunct w:val="0"/>
              <w:autoSpaceDE/>
              <w:autoSpaceDN/>
              <w:bidi w:val="0"/>
              <w:spacing w:after="0" w:line="360" w:lineRule="auto"/>
              <w:ind w:right="84" w:rightChars="38"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本项目烘干车间面积</w:t>
            </w:r>
            <w:r>
              <w:rPr>
                <w:rFonts w:hint="eastAsia" w:ascii="Times New Roman" w:hAnsi="Times New Roman" w:eastAsia="宋体" w:cs="Times New Roman"/>
                <w:sz w:val="21"/>
                <w:szCs w:val="21"/>
              </w:rPr>
              <w:t>1131m</w:t>
            </w:r>
            <w:r>
              <w:rPr>
                <w:rFonts w:hint="eastAsia" w:ascii="Times New Roman" w:hAnsi="Times New Roman" w:eastAsia="宋体" w:cs="Times New Roman"/>
                <w:sz w:val="21"/>
                <w:szCs w:val="21"/>
                <w:vertAlign w:val="superscript"/>
              </w:rPr>
              <w:t>2</w:t>
            </w:r>
            <w:r>
              <w:rPr>
                <w:rFonts w:hint="eastAsia" w:ascii="Times New Roman" w:hAnsi="Times New Roman" w:eastAsia="宋体" w:cs="Times New Roman"/>
                <w:sz w:val="21"/>
                <w:szCs w:val="21"/>
              </w:rPr>
              <w:t xml:space="preserve"> </w:t>
            </w:r>
            <w:r>
              <w:rPr>
                <w:rFonts w:hint="eastAsia" w:asciiTheme="minorEastAsia" w:hAnsiTheme="minorEastAsia" w:eastAsiaTheme="minorEastAsia" w:cstheme="minorEastAsia"/>
                <w:sz w:val="21"/>
                <w:szCs w:val="21"/>
              </w:rPr>
              <w:t>，日清洗用水量为</w:t>
            </w:r>
            <w:r>
              <w:rPr>
                <w:rFonts w:hint="eastAsia" w:ascii="Times New Roman" w:hAnsi="Times New Roman" w:eastAsia="宋体" w:cs="Times New Roman"/>
                <w:sz w:val="21"/>
                <w:szCs w:val="21"/>
              </w:rPr>
              <w:t>1.2m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rPr>
              <w:t>/d</w:t>
            </w:r>
            <w:r>
              <w:rPr>
                <w:rFonts w:hint="eastAsia" w:asciiTheme="minorEastAsia" w:hAnsiTheme="minorEastAsia" w:eastAsiaTheme="minorEastAsia" w:cstheme="minorEastAsia"/>
                <w:sz w:val="21"/>
                <w:szCs w:val="21"/>
              </w:rPr>
              <w:t>。</w:t>
            </w:r>
          </w:p>
          <w:p>
            <w:pPr>
              <w:pageBreakBefore w:val="0"/>
              <w:numPr>
                <w:ilvl w:val="0"/>
                <w:numId w:val="0"/>
              </w:numPr>
              <w:kinsoku/>
              <w:wordWrap/>
              <w:overflowPunct/>
              <w:topLinePunct w:val="0"/>
              <w:autoSpaceDE/>
              <w:autoSpaceDN/>
              <w:bidi w:val="0"/>
              <w:spacing w:after="0" w:line="360" w:lineRule="auto"/>
              <w:ind w:leftChars="196" w:right="84" w:rightChars="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③</w:t>
            </w:r>
            <w:r>
              <w:rPr>
                <w:rFonts w:hint="eastAsia" w:asciiTheme="minorEastAsia" w:hAnsiTheme="minorEastAsia" w:eastAsiaTheme="minorEastAsia" w:cstheme="minorEastAsia"/>
                <w:sz w:val="21"/>
                <w:szCs w:val="21"/>
              </w:rPr>
              <w:t>生活用水</w:t>
            </w:r>
          </w:p>
          <w:p>
            <w:pPr>
              <w:pageBreakBefore w:val="0"/>
              <w:numPr>
                <w:ilvl w:val="0"/>
                <w:numId w:val="0"/>
              </w:numPr>
              <w:kinsoku/>
              <w:wordWrap/>
              <w:overflowPunct/>
              <w:topLinePunct w:val="0"/>
              <w:autoSpaceDE/>
              <w:autoSpaceDN/>
              <w:bidi w:val="0"/>
              <w:spacing w:after="0" w:line="360" w:lineRule="auto"/>
              <w:ind w:leftChars="196" w:right="84" w:rightChars="38"/>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本项目排水依托大阳煤矿。</w:t>
            </w:r>
          </w:p>
          <w:p>
            <w:pPr>
              <w:pageBreakBefore w:val="0"/>
              <w:kinsoku/>
              <w:wordWrap/>
              <w:overflowPunct/>
              <w:topLinePunct w:val="0"/>
              <w:autoSpaceDE/>
              <w:autoSpaceDN/>
              <w:bidi w:val="0"/>
              <w:spacing w:after="0" w:line="360" w:lineRule="auto"/>
              <w:ind w:right="84" w:rightChars="38" w:firstLine="411" w:firstLineChars="196"/>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综上，本项目全年用水量</w:t>
            </w:r>
            <w:r>
              <w:rPr>
                <w:rFonts w:hint="eastAsia" w:ascii="Times New Roman" w:hAnsi="Times New Roman" w:eastAsia="宋体" w:cs="Times New Roman"/>
                <w:sz w:val="21"/>
                <w:szCs w:val="21"/>
              </w:rPr>
              <w:t>528m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vertAlign w:val="baseline"/>
                <w:lang w:val="en-US" w:eastAsia="zh-CN"/>
              </w:rPr>
              <w:t>/a</w:t>
            </w:r>
            <w:r>
              <w:rPr>
                <w:rFonts w:hint="eastAsia" w:asciiTheme="minorEastAsia" w:hAnsiTheme="minorEastAsia" w:eastAsiaTheme="minorEastAsia" w:cstheme="minorEastAsia"/>
                <w:sz w:val="21"/>
                <w:szCs w:val="21"/>
              </w:rPr>
              <w:t>。</w:t>
            </w:r>
          </w:p>
          <w:p>
            <w:pPr>
              <w:pageBreakBefore w:val="0"/>
              <w:kinsoku/>
              <w:wordWrap/>
              <w:overflowPunct/>
              <w:topLinePunct w:val="0"/>
              <w:autoSpaceDE/>
              <w:autoSpaceDN/>
              <w:bidi w:val="0"/>
              <w:spacing w:after="0" w:line="360" w:lineRule="auto"/>
              <w:ind w:firstLine="420" w:firstLineChars="20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（2）排水</w:t>
            </w:r>
          </w:p>
          <w:p>
            <w:pPr>
              <w:pageBreakBefore w:val="0"/>
              <w:kinsoku/>
              <w:wordWrap/>
              <w:overflowPunct/>
              <w:topLinePunct w:val="0"/>
              <w:autoSpaceDE/>
              <w:autoSpaceDN/>
              <w:bidi w:val="0"/>
              <w:spacing w:after="0" w:line="360" w:lineRule="auto"/>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本项目脱硫塔的循环水闭路循环，不外排。本项目排水依托大阳煤矿。</w:t>
            </w:r>
          </w:p>
          <w:p>
            <w:pPr>
              <w:pageBreakBefore w:val="0"/>
              <w:kinsoku/>
              <w:wordWrap/>
              <w:overflowPunct/>
              <w:topLinePunct w:val="0"/>
              <w:autoSpaceDE/>
              <w:autoSpaceDN/>
              <w:bidi w:val="0"/>
              <w:spacing w:after="0"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2-6 </w:t>
            </w:r>
            <w:r>
              <w:rPr>
                <w:rFonts w:hint="default" w:ascii="Times New Roman" w:hAnsi="Times New Roman" w:eastAsia="宋体" w:cs="Times New Roman"/>
                <w:b/>
                <w:bCs/>
                <w:sz w:val="21"/>
                <w:szCs w:val="21"/>
              </w:rPr>
              <w:t xml:space="preserve"> 本项目用排水量统计表</w:t>
            </w:r>
          </w:p>
          <w:tbl>
            <w:tblPr>
              <w:tblStyle w:val="10"/>
              <w:tblW w:w="69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672"/>
              <w:gridCol w:w="1134"/>
              <w:gridCol w:w="1222"/>
              <w:gridCol w:w="931"/>
              <w:gridCol w:w="1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52" w:type="dxa"/>
                  <w:vMerge w:val="restart"/>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序号</w:t>
                  </w:r>
                </w:p>
              </w:tc>
              <w:tc>
                <w:tcPr>
                  <w:tcW w:w="1672" w:type="dxa"/>
                  <w:vMerge w:val="restart"/>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用水项目</w:t>
                  </w:r>
                </w:p>
              </w:tc>
              <w:tc>
                <w:tcPr>
                  <w:tcW w:w="1134" w:type="dxa"/>
                  <w:vMerge w:val="restart"/>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用水数量</w:t>
                  </w:r>
                </w:p>
              </w:tc>
              <w:tc>
                <w:tcPr>
                  <w:tcW w:w="1222" w:type="dxa"/>
                  <w:vMerge w:val="restart"/>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用水系数</w:t>
                  </w:r>
                </w:p>
              </w:tc>
              <w:tc>
                <w:tcPr>
                  <w:tcW w:w="931"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用水量</w:t>
                  </w:r>
                </w:p>
              </w:tc>
              <w:tc>
                <w:tcPr>
                  <w:tcW w:w="1107"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排水量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52" w:type="dxa"/>
                  <w:vMerge w:val="continue"/>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1672" w:type="dxa"/>
                  <w:vMerge w:val="continue"/>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1134" w:type="dxa"/>
                  <w:vMerge w:val="continue"/>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1222" w:type="dxa"/>
                  <w:vMerge w:val="continue"/>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931"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m</w:t>
                  </w:r>
                  <w:r>
                    <w:rPr>
                      <w:rFonts w:hint="eastAsia" w:ascii="Times New Roman" w:hAnsi="Times New Roman" w:eastAsia="宋体" w:cs="Times New Roman"/>
                      <w:sz w:val="18"/>
                      <w:szCs w:val="18"/>
                      <w:vertAlign w:val="superscript"/>
                    </w:rPr>
                    <w:t>3</w:t>
                  </w:r>
                  <w:r>
                    <w:rPr>
                      <w:rFonts w:hint="eastAsia" w:ascii="Times New Roman" w:hAnsi="Times New Roman" w:eastAsia="宋体" w:cs="Times New Roman"/>
                      <w:sz w:val="18"/>
                      <w:szCs w:val="18"/>
                    </w:rPr>
                    <w:t>/d</w:t>
                  </w:r>
                </w:p>
              </w:tc>
              <w:tc>
                <w:tcPr>
                  <w:tcW w:w="1107"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m</w:t>
                  </w:r>
                  <w:r>
                    <w:rPr>
                      <w:rFonts w:hint="eastAsia" w:ascii="Times New Roman" w:hAnsi="Times New Roman" w:eastAsia="宋体" w:cs="Times New Roman"/>
                      <w:sz w:val="18"/>
                      <w:szCs w:val="18"/>
                      <w:vertAlign w:val="superscript"/>
                    </w:rPr>
                    <w:t>3</w:t>
                  </w:r>
                  <w:r>
                    <w:rPr>
                      <w:rFonts w:hint="eastAsia"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52"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672" w:type="dxa"/>
                  <w:tcBorders>
                    <w:tl2br w:val="nil"/>
                    <w:tr2bl w:val="nil"/>
                  </w:tcBorders>
                  <w:vAlign w:val="center"/>
                </w:tcPr>
                <w:p>
                  <w:pPr>
                    <w:keepNext w:val="0"/>
                    <w:keepLines w:val="0"/>
                    <w:pageBreakBefore w:val="0"/>
                    <w:widowControl/>
                    <w:wordWrap/>
                    <w:topLinePunct w:val="0"/>
                    <w:bidi w:val="0"/>
                    <w:adjustRightInd w:val="0"/>
                    <w:snapToGrid w:val="0"/>
                    <w:spacing w:after="0" w:line="240" w:lineRule="exact"/>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车间清洗用水</w:t>
                  </w:r>
                </w:p>
              </w:tc>
              <w:tc>
                <w:tcPr>
                  <w:tcW w:w="1134"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1131㎡</w:t>
                  </w:r>
                </w:p>
              </w:tc>
              <w:tc>
                <w:tcPr>
                  <w:tcW w:w="1222"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0.001m</w:t>
                  </w:r>
                  <w:r>
                    <w:rPr>
                      <w:rFonts w:hint="eastAsia" w:ascii="Times New Roman" w:hAnsi="Times New Roman" w:eastAsia="宋体" w:cs="Times New Roman"/>
                      <w:sz w:val="18"/>
                      <w:szCs w:val="18"/>
                      <w:vertAlign w:val="superscript"/>
                    </w:rPr>
                    <w:t>3</w:t>
                  </w:r>
                  <w:r>
                    <w:rPr>
                      <w:rFonts w:hint="eastAsia" w:ascii="Times New Roman" w:hAnsi="Times New Roman" w:eastAsia="宋体" w:cs="Times New Roman"/>
                      <w:sz w:val="18"/>
                      <w:szCs w:val="18"/>
                    </w:rPr>
                    <w:t>/㎡</w:t>
                  </w:r>
                </w:p>
              </w:tc>
              <w:tc>
                <w:tcPr>
                  <w:tcW w:w="931"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 xml:space="preserve"> 1.2</w:t>
                  </w:r>
                </w:p>
              </w:tc>
              <w:tc>
                <w:tcPr>
                  <w:tcW w:w="1107"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852"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p>
              </w:tc>
              <w:tc>
                <w:tcPr>
                  <w:tcW w:w="1672" w:type="dxa"/>
                  <w:tcBorders>
                    <w:tl2br w:val="nil"/>
                    <w:tr2bl w:val="nil"/>
                  </w:tcBorders>
                  <w:vAlign w:val="center"/>
                </w:tcPr>
                <w:p>
                  <w:pPr>
                    <w:keepNext w:val="0"/>
                    <w:keepLines w:val="0"/>
                    <w:pageBreakBefore w:val="0"/>
                    <w:widowControl/>
                    <w:wordWrap/>
                    <w:topLinePunct w:val="0"/>
                    <w:bidi w:val="0"/>
                    <w:adjustRightInd w:val="0"/>
                    <w:snapToGrid w:val="0"/>
                    <w:spacing w:after="0" w:line="240" w:lineRule="exact"/>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脱硫塔循环水</w:t>
                  </w:r>
                </w:p>
              </w:tc>
              <w:tc>
                <w:tcPr>
                  <w:tcW w:w="1134"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1222"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931"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20</w:t>
                  </w:r>
                </w:p>
              </w:tc>
              <w:tc>
                <w:tcPr>
                  <w:tcW w:w="1107"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852"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w:t>
                  </w:r>
                </w:p>
              </w:tc>
              <w:tc>
                <w:tcPr>
                  <w:tcW w:w="1672" w:type="dxa"/>
                  <w:tcBorders>
                    <w:tl2br w:val="nil"/>
                    <w:tr2bl w:val="nil"/>
                  </w:tcBorders>
                  <w:vAlign w:val="center"/>
                </w:tcPr>
                <w:p>
                  <w:pPr>
                    <w:keepNext w:val="0"/>
                    <w:keepLines w:val="0"/>
                    <w:pageBreakBefore w:val="0"/>
                    <w:widowControl/>
                    <w:wordWrap/>
                    <w:topLinePunct w:val="0"/>
                    <w:bidi w:val="0"/>
                    <w:adjustRightInd w:val="0"/>
                    <w:snapToGrid w:val="0"/>
                    <w:spacing w:after="0" w:line="240" w:lineRule="exact"/>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脱硫塔补充水</w:t>
                  </w:r>
                </w:p>
              </w:tc>
              <w:tc>
                <w:tcPr>
                  <w:tcW w:w="1134"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1222"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p>
              </w:tc>
              <w:tc>
                <w:tcPr>
                  <w:tcW w:w="931"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0.4</w:t>
                  </w:r>
                </w:p>
              </w:tc>
              <w:tc>
                <w:tcPr>
                  <w:tcW w:w="1107"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4" w:hRule="exact"/>
                <w:jc w:val="center"/>
              </w:trPr>
              <w:tc>
                <w:tcPr>
                  <w:tcW w:w="2524" w:type="dxa"/>
                  <w:gridSpan w:val="2"/>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合计</w:t>
                  </w:r>
                </w:p>
              </w:tc>
              <w:tc>
                <w:tcPr>
                  <w:tcW w:w="1134"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1222" w:type="dxa"/>
                  <w:tcBorders>
                    <w:tl2br w:val="nil"/>
                    <w:tr2bl w:val="nil"/>
                  </w:tcBorders>
                  <w:vAlign w:val="center"/>
                </w:tcPr>
                <w:p>
                  <w:pPr>
                    <w:keepNext w:val="0"/>
                    <w:keepLines w:val="0"/>
                    <w:pageBreakBefore w:val="0"/>
                    <w:widowControl/>
                    <w:wordWrap/>
                    <w:topLinePunct w:val="0"/>
                    <w:bidi w:val="0"/>
                    <w:adjustRightInd w:val="0"/>
                    <w:snapToGrid w:val="0"/>
                    <w:spacing w:after="0"/>
                    <w:jc w:val="center"/>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t>
                  </w:r>
                </w:p>
              </w:tc>
              <w:tc>
                <w:tcPr>
                  <w:tcW w:w="931"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21.6</w:t>
                  </w:r>
                </w:p>
              </w:tc>
              <w:tc>
                <w:tcPr>
                  <w:tcW w:w="1107" w:type="dxa"/>
                  <w:tcBorders>
                    <w:tl2br w:val="nil"/>
                    <w:tr2bl w:val="nil"/>
                  </w:tcBorders>
                  <w:vAlign w:val="center"/>
                </w:tcPr>
                <w:p>
                  <w:pPr>
                    <w:keepNext w:val="0"/>
                    <w:keepLines w:val="0"/>
                    <w:pageBreakBefore w:val="0"/>
                    <w:widowControl/>
                    <w:kinsoku w:val="0"/>
                    <w:wordWrap/>
                    <w:overflowPunct w:val="0"/>
                    <w:topLinePunct w:val="0"/>
                    <w:autoSpaceDE w:val="0"/>
                    <w:autoSpaceDN w:val="0"/>
                    <w:bidi w:val="0"/>
                    <w:adjustRightInd w:val="0"/>
                    <w:snapToGrid w:val="0"/>
                    <w:spacing w:before="139" w:after="0"/>
                    <w:jc w:val="center"/>
                    <w:textAlignment w:val="auto"/>
                    <w:outlineLvl w:val="9"/>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0</w:t>
                  </w:r>
                </w:p>
              </w:tc>
            </w:tr>
          </w:tbl>
          <w:p>
            <w:pPr>
              <w:spacing w:line="360" w:lineRule="auto"/>
              <w:ind w:right="84" w:rightChars="38"/>
              <w:jc w:val="center"/>
              <w:rPr>
                <w:b/>
              </w:rPr>
            </w:pPr>
            <w:r>
              <w:rPr>
                <w:b/>
              </w:rPr>
              <w:drawing>
                <wp:inline distT="0" distB="0" distL="114300" distR="114300">
                  <wp:extent cx="3809365" cy="1609725"/>
                  <wp:effectExtent l="0" t="0" r="63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3809365" cy="160972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right="84" w:rightChars="38"/>
              <w:jc w:val="center"/>
              <w:textAlignment w:val="auto"/>
              <w:outlineLvl w:val="9"/>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zh-CN" w:eastAsia="zh-CN" w:bidi="ar-SA"/>
              </w:rPr>
              <w:t>图</w:t>
            </w:r>
            <w:r>
              <w:rPr>
                <w:rFonts w:hint="eastAsia" w:asciiTheme="minorEastAsia" w:hAnsiTheme="minorEastAsia" w:eastAsiaTheme="minorEastAsia" w:cstheme="minorEastAsia"/>
                <w:b/>
                <w:bCs/>
                <w:kern w:val="2"/>
                <w:sz w:val="21"/>
                <w:szCs w:val="21"/>
                <w:lang w:val="en-US" w:eastAsia="zh-CN" w:bidi="ar-SA"/>
              </w:rPr>
              <w:t>2-</w:t>
            </w:r>
            <w:r>
              <w:rPr>
                <w:rFonts w:hint="eastAsia" w:asciiTheme="minorEastAsia" w:hAnsiTheme="minorEastAsia" w:eastAsiaTheme="minorEastAsia" w:cstheme="minorEastAsia"/>
                <w:b/>
                <w:bCs/>
                <w:kern w:val="2"/>
                <w:sz w:val="21"/>
                <w:szCs w:val="21"/>
                <w:lang w:val="zh-CN" w:eastAsia="zh-CN" w:bidi="ar-SA"/>
              </w:rPr>
              <w:t>1</w:t>
            </w:r>
            <w:r>
              <w:rPr>
                <w:rFonts w:hint="eastAsia" w:asciiTheme="minorEastAsia" w:hAnsiTheme="minorEastAsia" w:eastAsiaTheme="minorEastAsia" w:cstheme="minorEastAsia"/>
                <w:b/>
                <w:bCs/>
                <w:kern w:val="2"/>
                <w:sz w:val="21"/>
                <w:szCs w:val="21"/>
                <w:lang w:val="en-US" w:eastAsia="zh-CN" w:bidi="ar-SA"/>
              </w:rPr>
              <w:t xml:space="preserve">  </w:t>
            </w:r>
            <w:r>
              <w:rPr>
                <w:rFonts w:hint="eastAsia" w:asciiTheme="minorEastAsia" w:hAnsiTheme="minorEastAsia" w:eastAsiaTheme="minorEastAsia" w:cstheme="minorEastAsia"/>
                <w:b/>
                <w:bCs/>
                <w:kern w:val="2"/>
                <w:sz w:val="21"/>
                <w:szCs w:val="21"/>
                <w:lang w:val="zh-CN" w:eastAsia="zh-CN" w:bidi="ar-SA"/>
              </w:rPr>
              <w:t>项目水平衡图（</w:t>
            </w:r>
            <w:r>
              <w:rPr>
                <w:rFonts w:hint="default" w:asciiTheme="minorEastAsia" w:hAnsiTheme="minorEastAsia" w:eastAsiaTheme="minorEastAsia" w:cstheme="minorEastAsia"/>
                <w:b/>
                <w:bCs/>
                <w:kern w:val="2"/>
                <w:sz w:val="21"/>
                <w:szCs w:val="21"/>
                <w:lang w:val="en-US" w:eastAsia="zh-CN" w:bidi="ar-SA"/>
              </w:rPr>
              <w:t>m</w:t>
            </w:r>
            <w:r>
              <w:rPr>
                <w:rFonts w:hint="default" w:asciiTheme="minorEastAsia" w:hAnsiTheme="minorEastAsia" w:eastAsiaTheme="minorEastAsia" w:cstheme="minorEastAsia"/>
                <w:b/>
                <w:bCs/>
                <w:kern w:val="2"/>
                <w:sz w:val="21"/>
                <w:szCs w:val="21"/>
                <w:vertAlign w:val="superscript"/>
                <w:lang w:val="en-US" w:eastAsia="zh-CN" w:bidi="ar-SA"/>
              </w:rPr>
              <w:t>3</w:t>
            </w:r>
            <w:r>
              <w:rPr>
                <w:rFonts w:hint="default" w:asciiTheme="minorEastAsia" w:hAnsiTheme="minorEastAsia" w:eastAsiaTheme="minorEastAsia" w:cstheme="minorEastAsia"/>
                <w:b/>
                <w:bCs/>
                <w:kern w:val="2"/>
                <w:sz w:val="21"/>
                <w:szCs w:val="21"/>
                <w:lang w:val="en-US" w:eastAsia="zh-CN" w:bidi="ar-SA"/>
              </w:rPr>
              <w:t>/d</w:t>
            </w:r>
            <w:r>
              <w:rPr>
                <w:rFonts w:hint="eastAsia" w:asciiTheme="minorEastAsia" w:hAnsiTheme="minorEastAsia" w:eastAsiaTheme="minorEastAsia" w:cstheme="minorEastAsia"/>
                <w:b/>
                <w:bCs/>
                <w:kern w:val="2"/>
                <w:sz w:val="21"/>
                <w:szCs w:val="21"/>
                <w:lang w:val="zh-CN" w:eastAsia="zh-CN" w:bidi="ar-SA"/>
              </w:rPr>
              <w:t>）</w:t>
            </w:r>
          </w:p>
          <w:p>
            <w:pPr>
              <w:spacing w:before="62" w:beforeLines="20" w:line="360" w:lineRule="auto"/>
              <w:rPr>
                <w:rFonts w:hint="eastAsia" w:ascii="宋体" w:hAnsi="宋体"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57" w:hRule="atLeast"/>
          <w:jc w:val="center"/>
        </w:trPr>
        <w:tc>
          <w:tcPr>
            <w:tcW w:w="9028" w:type="dxa"/>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s="宋体"/>
                <w:b/>
                <w:bCs/>
                <w:lang w:eastAsia="zh-CN"/>
              </w:rPr>
            </w:pPr>
            <w:r>
              <w:rPr>
                <w:rFonts w:hint="eastAsia" w:ascii="宋体" w:hAnsi="宋体" w:eastAsia="宋体" w:cs="宋体"/>
                <w:b/>
                <w:bCs/>
              </w:rPr>
              <w:t>主要工艺流程及产</w:t>
            </w:r>
            <w:r>
              <w:rPr>
                <w:rFonts w:hint="eastAsia" w:ascii="宋体" w:hAnsi="宋体" w:eastAsia="宋体" w:cs="宋体"/>
                <w:b/>
                <w:bCs/>
                <w:lang w:eastAsia="zh-CN"/>
              </w:rPr>
              <w:t>污</w:t>
            </w:r>
            <w:r>
              <w:rPr>
                <w:rFonts w:hint="eastAsia" w:ascii="宋体" w:hAnsi="宋体" w:eastAsia="宋体" w:cs="宋体"/>
                <w:b/>
                <w:bCs/>
              </w:rPr>
              <w:t>环节（附处理工艺流程图，标出产污节点）</w:t>
            </w:r>
            <w:r>
              <w:rPr>
                <w:rFonts w:hint="eastAsia" w:ascii="宋体" w:hAnsi="宋体" w:eastAsia="宋体" w:cs="宋体"/>
                <w:b/>
                <w:bCs/>
                <w:lang w:eastAsia="zh-CN"/>
              </w:rPr>
              <w:t>：</w:t>
            </w:r>
          </w:p>
          <w:p>
            <w:pPr>
              <w:pStyle w:val="4"/>
              <w:pageBreakBefore w:val="0"/>
              <w:numPr>
                <w:ilvl w:val="0"/>
                <w:numId w:val="0"/>
              </w:numPr>
              <w:kinsoku/>
              <w:wordWrap/>
              <w:overflowPunct/>
              <w:topLinePunct w:val="0"/>
              <w:autoSpaceDE/>
              <w:autoSpaceDN/>
              <w:bidi w:val="0"/>
              <w:spacing w:after="0" w:line="360" w:lineRule="auto"/>
              <w:ind w:firstLine="420" w:firstLineChars="200"/>
              <w:textAlignment w:val="auto"/>
              <w:rPr>
                <w:rFonts w:hint="eastAsia" w:ascii="Times New Roman" w:hAnsi="Times New Roman" w:eastAsia="宋体" w:cs="Times New Roman"/>
                <w:b w:val="0"/>
                <w:bCs w:val="0"/>
                <w:sz w:val="21"/>
                <w:szCs w:val="21"/>
                <w:lang w:val="zh-CN" w:eastAsia="zh-CN"/>
              </w:rPr>
            </w:pPr>
            <w:r>
              <w:rPr>
                <w:rFonts w:hint="eastAsia" w:cs="Times New Roman"/>
                <w:b w:val="0"/>
                <w:bCs w:val="0"/>
                <w:sz w:val="21"/>
                <w:szCs w:val="21"/>
                <w:lang w:val="en-US" w:eastAsia="zh-CN"/>
              </w:rPr>
              <w:t>1、</w:t>
            </w:r>
            <w:r>
              <w:rPr>
                <w:rFonts w:hint="eastAsia" w:ascii="Times New Roman" w:hAnsi="Times New Roman" w:eastAsia="宋体" w:cs="Times New Roman"/>
                <w:b w:val="0"/>
                <w:bCs w:val="0"/>
                <w:sz w:val="21"/>
                <w:szCs w:val="21"/>
                <w:lang w:val="zh-CN" w:eastAsia="zh-CN"/>
              </w:rPr>
              <w:t>工艺流程</w:t>
            </w:r>
          </w:p>
          <w:p>
            <w:pPr>
              <w:pageBreakBefore w:val="0"/>
              <w:kinsoku/>
              <w:wordWrap/>
              <w:overflowPunct/>
              <w:topLinePunct w:val="0"/>
              <w:autoSpaceDE/>
              <w:autoSpaceDN/>
              <w:bidi w:val="0"/>
              <w:spacing w:after="0" w:line="360" w:lineRule="auto"/>
              <w:ind w:right="84" w:rightChars="38" w:firstLine="411" w:firstLineChars="196"/>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本项目选用的是</w:t>
            </w:r>
            <w:r>
              <w:rPr>
                <w:rFonts w:hint="eastAsia" w:ascii="Times New Roman" w:hAnsi="Times New Roman" w:eastAsia="宋体" w:cs="Times New Roman"/>
                <w:sz w:val="21"/>
                <w:szCs w:val="21"/>
              </w:rPr>
              <w:t>MG2518</w:t>
            </w:r>
            <w:r>
              <w:rPr>
                <w:rFonts w:hint="eastAsia" w:asciiTheme="minorEastAsia" w:hAnsiTheme="minorEastAsia" w:eastAsiaTheme="minorEastAsia" w:cstheme="minorEastAsia"/>
                <w:sz w:val="21"/>
                <w:szCs w:val="21"/>
                <w:lang w:val="zh-CN"/>
              </w:rPr>
              <w:t>滚筒干燥机，洗煤厂产生的煤泥经管道输送至压滤车间压滤后，其水分含量约</w:t>
            </w:r>
            <w:r>
              <w:rPr>
                <w:rFonts w:hint="eastAsia" w:ascii="Times New Roman" w:hAnsi="Times New Roman" w:eastAsia="宋体" w:cs="Times New Roman"/>
                <w:sz w:val="21"/>
                <w:szCs w:val="21"/>
                <w:lang w:val="zh-CN"/>
              </w:rPr>
              <w:t>30%</w:t>
            </w:r>
            <w:r>
              <w:rPr>
                <w:rFonts w:hint="eastAsia" w:asciiTheme="minorEastAsia" w:hAnsiTheme="minorEastAsia" w:eastAsiaTheme="minorEastAsia" w:cstheme="minorEastAsia"/>
                <w:sz w:val="21"/>
                <w:szCs w:val="21"/>
                <w:lang w:val="zh-CN"/>
              </w:rPr>
              <w:t>，再由输送皮带送入滚筒干燥机后，由螺旋推进器推入滚筒干燥机内，由燃烧炉产生的</w:t>
            </w:r>
            <w:r>
              <w:rPr>
                <w:rFonts w:hint="eastAsia" w:ascii="Times New Roman" w:hAnsi="Times New Roman" w:eastAsia="宋体" w:cs="Times New Roman"/>
                <w:sz w:val="21"/>
                <w:szCs w:val="21"/>
                <w:lang w:val="zh-CN"/>
              </w:rPr>
              <w:t>600℃</w:t>
            </w:r>
            <w:r>
              <w:rPr>
                <w:rFonts w:hint="eastAsia" w:asciiTheme="minorEastAsia" w:hAnsiTheme="minorEastAsia" w:eastAsiaTheme="minorEastAsia" w:cstheme="minorEastAsia"/>
                <w:sz w:val="21"/>
                <w:szCs w:val="21"/>
                <w:lang w:val="zh-CN"/>
              </w:rPr>
              <w:t>的高温烟气从中穿过湿物料预热并蒸发部分水分。随滚筒的不断回转，物料与烟气进行较为充分的质热交换，物料中的水分也就不断被蒸发，最终得到干燥后的煤泥水分在</w:t>
            </w:r>
            <w:r>
              <w:rPr>
                <w:rFonts w:hint="eastAsia" w:ascii="Times New Roman" w:hAnsi="Times New Roman" w:eastAsia="宋体" w:cs="Times New Roman"/>
                <w:sz w:val="21"/>
                <w:szCs w:val="21"/>
                <w:lang w:val="zh-CN"/>
              </w:rPr>
              <w:t>15%</w:t>
            </w:r>
            <w:r>
              <w:rPr>
                <w:rFonts w:hint="eastAsia" w:asciiTheme="minorEastAsia" w:hAnsiTheme="minorEastAsia" w:eastAsiaTheme="minorEastAsia" w:cstheme="minorEastAsia"/>
                <w:sz w:val="21"/>
                <w:szCs w:val="21"/>
                <w:lang w:val="zh-CN"/>
              </w:rPr>
              <w:t>左右。经干燥筒生产的产品首先进入封闭式出料箱，出料箱上端开口由引风机将废气引入到旋风除尘器和气箱脉冲袋式除尘器后，再经过脱硫塔进行脱硫除尘，最终经引风机引出通过2</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zh-CN"/>
              </w:rPr>
              <w:t>m高烟囱排放。项目工艺流程图见图</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zh-CN"/>
              </w:rPr>
              <w:t xml:space="preserve">。 </w:t>
            </w:r>
          </w:p>
          <w:p>
            <w:pPr>
              <w:pageBreakBefore w:val="0"/>
              <w:kinsoku/>
              <w:wordWrap/>
              <w:overflowPunct/>
              <w:topLinePunct w:val="0"/>
              <w:autoSpaceDE/>
              <w:autoSpaceDN/>
              <w:bidi w:val="0"/>
              <w:spacing w:after="0" w:line="360" w:lineRule="auto"/>
              <w:ind w:right="84" w:rightChars="38"/>
              <w:jc w:val="center"/>
              <w:textAlignment w:val="auto"/>
              <w:rPr>
                <w:rFonts w:hint="eastAsia" w:ascii="宋体" w:hAnsi="宋体" w:eastAsia="宋体" w:cs="宋体"/>
                <w:b/>
                <w:bCs/>
                <w:color w:val="auto"/>
                <w:sz w:val="21"/>
                <w:szCs w:val="21"/>
                <w:lang w:val="zh-CN"/>
              </w:rPr>
            </w:pPr>
            <w:r>
              <w:rPr>
                <w:color w:val="auto"/>
              </w:rPr>
              <w:drawing>
                <wp:inline distT="0" distB="0" distL="114300" distR="114300">
                  <wp:extent cx="5425440" cy="2141220"/>
                  <wp:effectExtent l="0" t="0" r="3810" b="1143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2"/>
                          <a:stretch>
                            <a:fillRect/>
                          </a:stretch>
                        </pic:blipFill>
                        <pic:spPr>
                          <a:xfrm>
                            <a:off x="0" y="0"/>
                            <a:ext cx="5425440" cy="2141220"/>
                          </a:xfrm>
                          <a:prstGeom prst="rect">
                            <a:avLst/>
                          </a:prstGeom>
                          <a:noFill/>
                          <a:ln w="9525">
                            <a:noFill/>
                          </a:ln>
                        </pic:spPr>
                      </pic:pic>
                    </a:graphicData>
                  </a:graphic>
                </wp:inline>
              </w:drawing>
            </w:r>
          </w:p>
          <w:p>
            <w:pPr>
              <w:pageBreakBefore w:val="0"/>
              <w:kinsoku/>
              <w:wordWrap/>
              <w:overflowPunct/>
              <w:topLinePunct w:val="0"/>
              <w:autoSpaceDE/>
              <w:autoSpaceDN/>
              <w:bidi w:val="0"/>
              <w:spacing w:after="0" w:line="360" w:lineRule="auto"/>
              <w:ind w:right="84" w:rightChars="38" w:firstLine="413" w:firstLineChars="196"/>
              <w:jc w:val="center"/>
              <w:textAlignment w:val="auto"/>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rPr>
              <w:t>图</w:t>
            </w:r>
            <w:r>
              <w:rPr>
                <w:rFonts w:hint="eastAsia" w:ascii="宋体" w:hAnsi="宋体" w:eastAsia="宋体" w:cs="宋体"/>
                <w:b/>
                <w:bCs/>
                <w:color w:val="auto"/>
                <w:sz w:val="21"/>
                <w:szCs w:val="21"/>
                <w:lang w:val="en-US" w:eastAsia="zh-CN"/>
              </w:rPr>
              <w:t xml:space="preserve">2-2 </w:t>
            </w:r>
            <w:r>
              <w:rPr>
                <w:rFonts w:hint="eastAsia" w:ascii="宋体" w:hAnsi="宋体" w:eastAsia="宋体" w:cs="宋体"/>
                <w:b/>
                <w:bCs/>
                <w:color w:val="auto"/>
                <w:sz w:val="21"/>
                <w:szCs w:val="21"/>
                <w:lang w:val="zh-CN"/>
              </w:rPr>
              <w:t xml:space="preserve"> 本项目工艺流程及产污环节示意图</w:t>
            </w:r>
          </w:p>
          <w:p>
            <w:pPr>
              <w:pageBreakBefore w:val="0"/>
              <w:kinsoku/>
              <w:wordWrap/>
              <w:overflowPunct/>
              <w:topLinePunct w:val="0"/>
              <w:autoSpaceDE/>
              <w:autoSpaceDN/>
              <w:bidi w:val="0"/>
              <w:spacing w:after="0" w:line="360" w:lineRule="auto"/>
              <w:textAlignment w:val="auto"/>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 xml:space="preserve">    2、</w:t>
            </w:r>
            <w:r>
              <w:rPr>
                <w:rFonts w:hint="eastAsia" w:ascii="Times New Roman" w:hAnsi="Times New Roman" w:eastAsia="宋体" w:cs="Times New Roman"/>
                <w:sz w:val="21"/>
                <w:szCs w:val="21"/>
                <w:lang w:val="zh-CN" w:eastAsia="zh-CN"/>
              </w:rPr>
              <w:t>滚筒干燥机工作原理</w:t>
            </w:r>
          </w:p>
          <w:p>
            <w:pPr>
              <w:pageBreakBefore w:val="0"/>
              <w:kinsoku/>
              <w:wordWrap/>
              <w:overflowPunct/>
              <w:topLinePunct w:val="0"/>
              <w:autoSpaceDE/>
              <w:autoSpaceDN/>
              <w:bidi w:val="0"/>
              <w:spacing w:after="0" w:line="360" w:lineRule="auto"/>
              <w:ind w:right="84" w:rightChars="38" w:firstLine="411" w:firstLineChars="196"/>
              <w:textAlignment w:val="auto"/>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煤泥由螺旋推进器推入滚筒干燥机后由大倾角导料板（</w:t>
            </w:r>
            <w:r>
              <w:rPr>
                <w:rFonts w:hint="eastAsia" w:ascii="Times New Roman" w:hAnsi="Times New Roman" w:eastAsia="宋体" w:cs="Times New Roman"/>
                <w:sz w:val="21"/>
                <w:szCs w:val="21"/>
                <w:lang w:val="zh-CN"/>
              </w:rPr>
              <w:t>1</w:t>
            </w:r>
            <w:r>
              <w:rPr>
                <w:rFonts w:hint="eastAsia" w:asciiTheme="minorEastAsia" w:hAnsiTheme="minorEastAsia" w:eastAsiaTheme="minorEastAsia" w:cstheme="minorEastAsia"/>
                <w:sz w:val="21"/>
                <w:szCs w:val="21"/>
                <w:lang w:val="zh-CN"/>
              </w:rPr>
              <w:t xml:space="preserve"> 区间）将其迅速导向倾斜扬料板（</w:t>
            </w:r>
            <w:r>
              <w:rPr>
                <w:rFonts w:hint="eastAsia" w:ascii="Times New Roman" w:hAnsi="Times New Roman" w:eastAsia="宋体" w:cs="Times New Roman"/>
                <w:sz w:val="21"/>
                <w:szCs w:val="21"/>
                <w:lang w:val="zh-CN"/>
              </w:rPr>
              <w:t>2</w:t>
            </w:r>
            <w:r>
              <w:rPr>
                <w:rFonts w:hint="eastAsia" w:asciiTheme="minorEastAsia" w:hAnsiTheme="minorEastAsia" w:eastAsiaTheme="minorEastAsia" w:cstheme="minorEastAsia"/>
                <w:sz w:val="21"/>
                <w:szCs w:val="21"/>
                <w:lang w:val="zh-CN"/>
              </w:rPr>
              <w:t xml:space="preserve"> 区间），并随滚筒的转动和筒体的倾斜度，自筒底提至筒顶而落下，形成“料幕”，高温烟气从中穿过使湿煤泥预热并蒸发部分水分，当物料又被提起、洒落重复几次后，移动到活动蓖条式翼板（</w:t>
            </w:r>
            <w:r>
              <w:rPr>
                <w:rFonts w:hint="eastAsia" w:ascii="Times New Roman" w:hAnsi="Times New Roman" w:eastAsia="宋体" w:cs="Times New Roman"/>
                <w:sz w:val="21"/>
                <w:szCs w:val="21"/>
                <w:lang w:val="zh-CN"/>
              </w:rPr>
              <w:t xml:space="preserve">3 </w:t>
            </w:r>
            <w:r>
              <w:rPr>
                <w:rFonts w:hint="eastAsia" w:asciiTheme="minorEastAsia" w:hAnsiTheme="minorEastAsia" w:eastAsiaTheme="minorEastAsia" w:cstheme="minorEastAsia"/>
                <w:sz w:val="21"/>
                <w:szCs w:val="21"/>
                <w:lang w:val="zh-CN"/>
              </w:rPr>
              <w:t>区间）段，预热过的活动蓖条式翼板夹带物料提起洒落重复多次，与物料形成传导和对流质热交换，当物料移动到第四区间即带有清扫装置的圆弧形扬料板时，物料在滚筒内的最低处时，就将清扫链条压在最下面，同时将链条在上部空间接受的热量传递给物料，随滚筒的转动，物料又被提起、洒落，再次与烟气进行较为充分的质热交换。同时，圆弧内侧的清扫链条自动滑下，把扬料板内壁粘附的物料清扫下来，当清扫链条随滚筒转过垂线以后又在圆弧形扬料板背面拖动将粘附在扬料板外壁的物料清扫下来。随滚筒的不断回转，清扫装置配合圆弧形扬料板重复上述过程，即提升物料、洒落物料、清扫扬料板内壁、清扫扬料板外壁、清扫链条又被埋在物料中再重复提升，不断进行质热交换。物料中的水分也就不断被蒸发，当物料移动到第五区间时，一部分物料经干燥便从扬料板蓖条的间隙漏下，不再参与提升，另一种湿的物料仍然留在扬料板圆弧内，被提升、洒落、干燥。物料到达第六区间时，物料与烟气基本完成质热交换，物料成为干后产品，烟气成为废气，为减少扬尘，第六区间不设扬料板，使物料滑落至排料箱，完成整个干燥过程。</w:t>
            </w: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rPr>
                <w:rFonts w:hint="eastAsia" w:asciiTheme="minorEastAsia" w:hAnsiTheme="minorEastAsia" w:eastAsiaTheme="minorEastAsia" w:cstheme="minorEastAsia"/>
                <w:sz w:val="21"/>
                <w:szCs w:val="21"/>
                <w:lang w:val="zh-CN"/>
              </w:rPr>
            </w:pPr>
          </w:p>
          <w:p>
            <w:pPr>
              <w:pStyle w:val="2"/>
              <w:ind w:left="0" w:leftChars="0" w:firstLine="0" w:firstLineChars="0"/>
              <w:rPr>
                <w:rFonts w:hint="eastAsia" w:ascii="宋体" w:hAnsi="宋体" w:eastAsia="宋体"/>
                <w:color w:val="000000"/>
                <w:sz w:val="21"/>
                <w:szCs w:val="21"/>
              </w:rPr>
            </w:pPr>
          </w:p>
        </w:tc>
      </w:tr>
    </w:tbl>
    <w:p>
      <w:pPr>
        <w:spacing w:line="360" w:lineRule="auto"/>
        <w:rPr>
          <w:rFonts w:eastAsia="仿宋_GB2312"/>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after="0" w:afterLines="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三</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6" w:hRule="atLeast"/>
          <w:jc w:val="center"/>
        </w:trPr>
        <w:tc>
          <w:tcPr>
            <w:tcW w:w="8924" w:type="dxa"/>
            <w:vAlign w:val="top"/>
          </w:tcPr>
          <w:p>
            <w:pPr>
              <w:spacing w:line="360" w:lineRule="exact"/>
              <w:rPr>
                <w:rFonts w:hint="eastAsia"/>
              </w:rPr>
            </w:pPr>
            <w:r>
              <w:rPr>
                <w:rFonts w:hint="eastAsia"/>
              </w:rPr>
              <w:t>主要污染源、污染物处理和排放（附处理流程示意图，标出废水、废气、厂界噪声监测点位）</w:t>
            </w:r>
          </w:p>
          <w:p>
            <w:pPr>
              <w:pageBreakBefore w:val="0"/>
              <w:kinsoku/>
              <w:wordWrap/>
              <w:overflowPunct/>
              <w:topLinePunct w:val="0"/>
              <w:autoSpaceDE/>
              <w:autoSpaceDN/>
              <w:bidi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1、废水</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（1）生产废水</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本项目生产过程的废水主要为脱硫塔的循环水，水质简单，闭路循环，不外排。该部分生产废水进入车间的沉淀池，经沉淀池沉淀后，上清液循环回用，沉淀池底泥送压滤车间压滤。</w:t>
            </w:r>
          </w:p>
          <w:tbl>
            <w:tblPr>
              <w:tblStyle w:val="11"/>
              <w:tblW w:w="42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858010" cy="2477770"/>
                        <wp:effectExtent l="0" t="0" r="8890" b="17780"/>
                        <wp:docPr id="23" name="图片 23" descr="IMG_20180608_0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0608_091647"/>
                                <pic:cNvPicPr>
                                  <a:picLocks noChangeAspect="1"/>
                                </pic:cNvPicPr>
                              </pic:nvPicPr>
                              <pic:blipFill>
                                <a:blip r:embed="rId20"/>
                                <a:stretch>
                                  <a:fillRect/>
                                </a:stretch>
                              </pic:blipFill>
                              <pic:spPr>
                                <a:xfrm>
                                  <a:off x="0" y="0"/>
                                  <a:ext cx="1858010" cy="2477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ascii="宋体" w:hAnsi="宋体" w:eastAsia="宋体" w:cs="宋体"/>
                      <w:kern w:val="0"/>
                      <w:sz w:val="21"/>
                      <w:szCs w:val="21"/>
                      <w:lang w:val="en-US" w:eastAsia="zh-CN"/>
                    </w:rPr>
                    <w:t>循环泵及循环水池</w:t>
                  </w:r>
                </w:p>
              </w:tc>
            </w:tr>
          </w:tbl>
          <w:p>
            <w:pPr>
              <w:pageBreakBefore w:val="0"/>
              <w:kinsoku/>
              <w:wordWrap/>
              <w:overflowPunct/>
              <w:topLinePunct w:val="0"/>
              <w:autoSpaceDE/>
              <w:autoSpaceDN/>
              <w:bidi w:val="0"/>
              <w:spacing w:after="0" w:line="360" w:lineRule="auto"/>
              <w:rPr>
                <w:rFonts w:hint="eastAsia"/>
                <w:lang w:val="en-US" w:eastAsia="zh-CN"/>
              </w:rPr>
            </w:pP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（2）生活废水</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烘干车间作业人员下班后回家或住职工宿舍，厂内生活污水排放依托大阳煤矿。</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本项目运营期产生的废水可得到有效处置，对周围环境的影响较小。</w:t>
            </w:r>
          </w:p>
          <w:p>
            <w:pPr>
              <w:pageBreakBefore w:val="0"/>
              <w:tabs>
                <w:tab w:val="left" w:pos="1337"/>
              </w:tabs>
              <w:kinsoku/>
              <w:wordWrap/>
              <w:overflowPunct/>
              <w:topLinePunct w:val="0"/>
              <w:autoSpaceDE/>
              <w:autoSpaceDN/>
              <w:bidi w:val="0"/>
              <w:spacing w:after="0" w:line="36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 xml:space="preserve">3-1  </w:t>
            </w:r>
            <w:r>
              <w:rPr>
                <w:rFonts w:hint="eastAsia" w:ascii="宋体" w:hAnsi="宋体" w:eastAsia="宋体" w:cs="宋体"/>
                <w:b/>
                <w:bCs/>
                <w:sz w:val="21"/>
                <w:szCs w:val="21"/>
                <w:lang w:eastAsia="zh-CN"/>
              </w:rPr>
              <w:t>废水治理情况一览表</w:t>
            </w:r>
          </w:p>
          <w:tbl>
            <w:tblPr>
              <w:tblStyle w:val="10"/>
              <w:tblW w:w="8607" w:type="dxa"/>
              <w:jc w:val="center"/>
              <w:tblInd w:w="-126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4"/>
              <w:gridCol w:w="581"/>
              <w:gridCol w:w="800"/>
              <w:gridCol w:w="825"/>
              <w:gridCol w:w="613"/>
              <w:gridCol w:w="612"/>
              <w:gridCol w:w="1813"/>
              <w:gridCol w:w="775"/>
              <w:gridCol w:w="712"/>
              <w:gridCol w:w="832"/>
              <w:gridCol w:w="6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94"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序号</w:t>
                  </w:r>
                </w:p>
              </w:tc>
              <w:tc>
                <w:tcPr>
                  <w:tcW w:w="581"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废水类别</w:t>
                  </w:r>
                </w:p>
              </w:tc>
              <w:tc>
                <w:tcPr>
                  <w:tcW w:w="800"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来源</w:t>
                  </w:r>
                </w:p>
              </w:tc>
              <w:tc>
                <w:tcPr>
                  <w:tcW w:w="825"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污染物种类</w:t>
                  </w:r>
                </w:p>
              </w:tc>
              <w:tc>
                <w:tcPr>
                  <w:tcW w:w="613"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排放规律</w:t>
                  </w:r>
                </w:p>
              </w:tc>
              <w:tc>
                <w:tcPr>
                  <w:tcW w:w="612"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排放量</w:t>
                  </w:r>
                </w:p>
              </w:tc>
              <w:tc>
                <w:tcPr>
                  <w:tcW w:w="1813"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治理设施</w:t>
                  </w:r>
                </w:p>
              </w:tc>
              <w:tc>
                <w:tcPr>
                  <w:tcW w:w="775"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工艺与处理能力</w:t>
                  </w:r>
                </w:p>
              </w:tc>
              <w:tc>
                <w:tcPr>
                  <w:tcW w:w="712"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设计指标</w:t>
                  </w:r>
                </w:p>
              </w:tc>
              <w:tc>
                <w:tcPr>
                  <w:tcW w:w="832"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废水回用量</w:t>
                  </w:r>
                </w:p>
              </w:tc>
              <w:tc>
                <w:tcPr>
                  <w:tcW w:w="650" w:type="dxa"/>
                  <w:tcBorders>
                    <w:tl2br w:val="nil"/>
                    <w:tr2bl w:val="nil"/>
                  </w:tcBorders>
                  <w:vAlign w:val="center"/>
                </w:tcPr>
                <w:p>
                  <w:pPr>
                    <w:pStyle w:val="20"/>
                    <w:pageBreakBefore w:val="0"/>
                    <w:kinsoku/>
                    <w:wordWrap/>
                    <w:overflowPunct/>
                    <w:topLinePunct w:val="0"/>
                    <w:autoSpaceDE/>
                    <w:autoSpaceDN/>
                    <w:bidi w:val="0"/>
                    <w:snapToGrid w:val="0"/>
                    <w:spacing w:after="0" w:line="24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jc w:val="center"/>
              </w:trPr>
              <w:tc>
                <w:tcPr>
                  <w:tcW w:w="394"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581"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生产废水</w:t>
                  </w:r>
                </w:p>
              </w:tc>
              <w:tc>
                <w:tcPr>
                  <w:tcW w:w="800"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脱硫塔循环水</w:t>
                  </w:r>
                </w:p>
              </w:tc>
              <w:tc>
                <w:tcPr>
                  <w:tcW w:w="825"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SS</w:t>
                  </w:r>
                </w:p>
              </w:tc>
              <w:tc>
                <w:tcPr>
                  <w:tcW w:w="613"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12"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1813"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进入车间的沉淀池，经沉淀池沉淀后，上清液循环回用，沉淀池底泥送压滤车间压滤。</w:t>
                  </w:r>
                </w:p>
              </w:tc>
              <w:tc>
                <w:tcPr>
                  <w:tcW w:w="775"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循环使用</w:t>
                  </w:r>
                </w:p>
              </w:tc>
              <w:tc>
                <w:tcPr>
                  <w:tcW w:w="712"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25m</w:t>
                  </w:r>
                  <w:r>
                    <w:rPr>
                      <w:rFonts w:hint="eastAsia" w:ascii="宋体" w:hAnsi="宋体" w:eastAsia="宋体" w:cs="宋体"/>
                      <w:sz w:val="18"/>
                      <w:szCs w:val="18"/>
                      <w:vertAlign w:val="superscript"/>
                      <w:lang w:val="en-US" w:eastAsia="zh-CN"/>
                    </w:rPr>
                    <w:t>2</w:t>
                  </w:r>
                </w:p>
              </w:tc>
              <w:tc>
                <w:tcPr>
                  <w:tcW w:w="832"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全部</w:t>
                  </w:r>
                </w:p>
              </w:tc>
              <w:tc>
                <w:tcPr>
                  <w:tcW w:w="650" w:type="dxa"/>
                  <w:tcBorders>
                    <w:tl2br w:val="nil"/>
                    <w:tr2bl w:val="nil"/>
                  </w:tcBorders>
                  <w:vAlign w:val="center"/>
                </w:tcPr>
                <w:p>
                  <w:pPr>
                    <w:pageBreakBefore w:val="0"/>
                    <w:kinsoku/>
                    <w:wordWrap/>
                    <w:overflowPunct/>
                    <w:topLinePunct w:val="0"/>
                    <w:autoSpaceDE/>
                    <w:autoSpaceDN/>
                    <w:bidi w:val="0"/>
                    <w:spacing w:after="0"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不外排</w:t>
                  </w:r>
                </w:p>
              </w:tc>
            </w:tr>
          </w:tbl>
          <w:p>
            <w:pPr>
              <w:pageBreakBefore w:val="0"/>
              <w:kinsoku/>
              <w:wordWrap/>
              <w:overflowPunct/>
              <w:topLinePunct w:val="0"/>
              <w:autoSpaceDE/>
              <w:autoSpaceDN/>
              <w:bidi w:val="0"/>
              <w:spacing w:after="0" w:line="360" w:lineRule="auto"/>
              <w:rPr>
                <w:rFonts w:hint="eastAsia"/>
                <w:lang w:val="en-US" w:eastAsia="zh-CN"/>
              </w:rPr>
            </w:pPr>
          </w:p>
          <w:p>
            <w:pPr>
              <w:pageBreakBefore w:val="0"/>
              <w:kinsoku/>
              <w:wordWrap/>
              <w:overflowPunct/>
              <w:topLinePunct w:val="0"/>
              <w:autoSpaceDE/>
              <w:autoSpaceDN/>
              <w:bidi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2、废气</w:t>
            </w:r>
          </w:p>
          <w:p>
            <w:pPr>
              <w:pageBreakBefore w:val="0"/>
              <w:kinsoku/>
              <w:wordWrap/>
              <w:overflowPunct/>
              <w:topLinePunct w:val="0"/>
              <w:autoSpaceDE/>
              <w:autoSpaceDN/>
              <w:bidi w:val="0"/>
              <w:spacing w:after="0"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本项目在运营期的大气污染源主要是热风炉产生的颗粒物、二氧化硫、氮氧化物，原料储存、下料仓、运输等工序中产生的粉尘。</w:t>
            </w:r>
          </w:p>
          <w:p>
            <w:pPr>
              <w:pageBreakBefore w:val="0"/>
              <w:kinsoku/>
              <w:wordWrap/>
              <w:overflowPunct/>
              <w:topLinePunct w:val="0"/>
              <w:autoSpaceDE/>
              <w:autoSpaceDN/>
              <w:bidi w:val="0"/>
              <w:spacing w:after="0" w:line="360" w:lineRule="auto"/>
              <w:ind w:firstLine="458"/>
              <w:rPr>
                <w:rFonts w:hint="eastAsia" w:ascii="宋体" w:hAnsi="宋体" w:eastAsia="宋体" w:cs="宋体"/>
                <w:sz w:val="21"/>
                <w:szCs w:val="21"/>
              </w:rPr>
            </w:pPr>
            <w:r>
              <w:rPr>
                <w:rFonts w:hint="eastAsia" w:ascii="宋体" w:hAnsi="宋体" w:eastAsia="宋体" w:cs="宋体"/>
                <w:sz w:val="21"/>
                <w:szCs w:val="21"/>
              </w:rPr>
              <w:t>（1）热风炉烟气污染及其治理措施</w:t>
            </w:r>
          </w:p>
          <w:p>
            <w:pPr>
              <w:pageBreakBefore w:val="0"/>
              <w:kinsoku/>
              <w:wordWrap/>
              <w:overflowPunct/>
              <w:topLinePunct w:val="0"/>
              <w:autoSpaceDE/>
              <w:autoSpaceDN/>
              <w:bidi w:val="0"/>
              <w:spacing w:after="0" w:line="360" w:lineRule="auto"/>
              <w:ind w:firstLine="450"/>
              <w:rPr>
                <w:rFonts w:hint="eastAsia" w:ascii="宋体" w:hAnsi="宋体" w:eastAsia="宋体" w:cs="宋体"/>
                <w:sz w:val="21"/>
                <w:szCs w:val="21"/>
              </w:rPr>
            </w:pPr>
            <w:r>
              <w:rPr>
                <w:rFonts w:hint="eastAsia" w:ascii="宋体" w:hAnsi="宋体" w:eastAsia="宋体" w:cs="宋体"/>
                <w:sz w:val="21"/>
                <w:szCs w:val="21"/>
              </w:rPr>
              <w:t>本项目采用3#煤作燃料，燃烧过程产生的烟气中主要有颗粒物、SO</w:t>
            </w:r>
            <w:r>
              <w:rPr>
                <w:rFonts w:hint="eastAsia" w:ascii="宋体" w:hAnsi="宋体" w:eastAsia="宋体" w:cs="宋体"/>
                <w:sz w:val="21"/>
                <w:szCs w:val="21"/>
                <w:vertAlign w:val="subscript"/>
              </w:rPr>
              <w:t>2</w:t>
            </w:r>
            <w:r>
              <w:rPr>
                <w:rFonts w:hint="eastAsia" w:ascii="宋体" w:hAnsi="宋体" w:eastAsia="宋体" w:cs="宋体"/>
                <w:sz w:val="21"/>
                <w:szCs w:val="21"/>
              </w:rPr>
              <w:t>、NO</w:t>
            </w:r>
            <w:r>
              <w:rPr>
                <w:rFonts w:hint="eastAsia" w:ascii="宋体" w:hAnsi="宋体" w:eastAsia="宋体" w:cs="宋体"/>
                <w:sz w:val="21"/>
                <w:szCs w:val="21"/>
                <w:vertAlign w:val="subscript"/>
              </w:rPr>
              <w:t>X</w:t>
            </w:r>
            <w:r>
              <w:rPr>
                <w:rFonts w:hint="eastAsia" w:ascii="宋体" w:hAnsi="宋体" w:eastAsia="宋体" w:cs="宋体"/>
                <w:sz w:val="21"/>
                <w:szCs w:val="21"/>
              </w:rPr>
              <w:t>等大气污染物。</w:t>
            </w:r>
          </w:p>
          <w:p>
            <w:pPr>
              <w:pStyle w:val="2"/>
              <w:ind w:left="0" w:leftChars="0" w:firstLine="0" w:firstLineChars="0"/>
              <w:jc w:val="both"/>
              <w:rPr>
                <w:rFonts w:hint="eastAsia"/>
              </w:rPr>
            </w:pPr>
            <w:r>
              <w:drawing>
                <wp:inline distT="0" distB="0" distL="114300" distR="114300">
                  <wp:extent cx="5524500" cy="1064895"/>
                  <wp:effectExtent l="0" t="0" r="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524500" cy="1064895"/>
                          </a:xfrm>
                          <a:prstGeom prst="rect">
                            <a:avLst/>
                          </a:prstGeom>
                          <a:noFill/>
                          <a:ln w="9525">
                            <a:noFill/>
                          </a:ln>
                        </pic:spPr>
                      </pic:pic>
                    </a:graphicData>
                  </a:graphic>
                </wp:inline>
              </w:drawing>
            </w:r>
          </w:p>
          <w:p>
            <w:pPr>
              <w:pStyle w:val="2"/>
              <w:ind w:left="0" w:leftChars="0"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图</w:t>
            </w:r>
            <w:r>
              <w:rPr>
                <w:rFonts w:hint="eastAsia" w:ascii="宋体" w:hAnsi="宋体" w:eastAsia="宋体" w:cs="宋体"/>
                <w:b/>
                <w:bCs/>
                <w:sz w:val="21"/>
                <w:szCs w:val="21"/>
                <w:lang w:val="en-US" w:eastAsia="zh-CN"/>
              </w:rPr>
              <w:t>3-1  热风炉废气处理工艺流程图</w:t>
            </w:r>
          </w:p>
          <w:p>
            <w:pPr>
              <w:pageBreakBefore w:val="0"/>
              <w:kinsoku/>
              <w:wordWrap/>
              <w:overflowPunct/>
              <w:topLinePunct w:val="0"/>
              <w:autoSpaceDE/>
              <w:autoSpaceDN/>
              <w:bidi w:val="0"/>
              <w:spacing w:after="0" w:line="360" w:lineRule="auto"/>
              <w:ind w:firstLine="458"/>
              <w:rPr>
                <w:rFonts w:hint="eastAsia" w:ascii="宋体" w:hAnsi="宋体" w:eastAsia="宋体" w:cs="宋体"/>
                <w:sz w:val="21"/>
                <w:szCs w:val="21"/>
              </w:rPr>
            </w:pPr>
            <w:r>
              <w:rPr>
                <w:rFonts w:hint="eastAsia" w:ascii="宋体" w:hAnsi="宋体" w:eastAsia="宋体" w:cs="宋体"/>
                <w:sz w:val="21"/>
                <w:szCs w:val="21"/>
              </w:rPr>
              <w:t>（2）粉尘污染及其治理措施</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本项目生产过程中的粉尘主要来自于热风炉燃烧产生的烟气、皮带输送、成品下料仓及运输等过程中产生的粉尘。其中热风炉燃烧产生的粉尘为有组织排放，其余为无组织排放。</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①皮带输送</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项目生产过程中，由皮带输送机负责各设备间物料的输送，在输送及转载点处，会产生一定量的颗粒物，干燥后的煤泥输送及转载过程中易产尘。本项目输送皮带在全封闭车间内，可确保90%以上粉尘不向外环境扩散。</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②成品下料仓</w:t>
            </w:r>
          </w:p>
          <w:p>
            <w:pPr>
              <w:pageBreakBefore w:val="0"/>
              <w:kinsoku/>
              <w:wordWrap/>
              <w:overflowPunct/>
              <w:topLinePunct w:val="0"/>
              <w:autoSpaceDE/>
              <w:autoSpaceDN/>
              <w:bidi w:val="0"/>
              <w:spacing w:after="0" w:line="360" w:lineRule="auto"/>
              <w:ind w:firstLine="435"/>
              <w:rPr>
                <w:rFonts w:hint="eastAsia" w:ascii="宋体" w:hAnsi="宋体" w:eastAsia="宋体" w:cs="宋体"/>
                <w:sz w:val="21"/>
                <w:szCs w:val="21"/>
              </w:rPr>
            </w:pPr>
            <w:r>
              <w:rPr>
                <w:rFonts w:hint="eastAsia" w:ascii="宋体" w:hAnsi="宋体" w:eastAsia="宋体" w:cs="宋体"/>
                <w:sz w:val="21"/>
                <w:szCs w:val="21"/>
              </w:rPr>
              <w:t>成品下料过程会产生粉尘</w:t>
            </w:r>
            <w:r>
              <w:rPr>
                <w:rFonts w:hint="eastAsia" w:ascii="宋体" w:hAnsi="宋体" w:eastAsia="宋体" w:cs="宋体"/>
                <w:sz w:val="21"/>
                <w:szCs w:val="21"/>
                <w:lang w:eastAsia="zh-CN"/>
              </w:rPr>
              <w:t>。本项目</w:t>
            </w:r>
            <w:r>
              <w:rPr>
                <w:rFonts w:hint="eastAsia" w:ascii="宋体" w:hAnsi="宋体" w:eastAsia="宋体" w:cs="宋体"/>
                <w:sz w:val="21"/>
                <w:szCs w:val="21"/>
              </w:rPr>
              <w:t>下料口为封闭式，且安装有转接口，可确保90%以上粉尘不向外环境扩散。</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③产品装车过程中产生的粉尘</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本项目下料仓底部设有全封闭式卸灰装置，对出料管进行耐磨布袋软连接，出灰时将出料布袋直接通入密闭运输车辆，通过控制下料速度，可有效控制粉尘产生。该过程粉尘产生量很小。</w:t>
            </w:r>
          </w:p>
          <w:p>
            <w:pPr>
              <w:pageBreakBefore w:val="0"/>
              <w:kinsoku/>
              <w:wordWrap/>
              <w:overflowPunct/>
              <w:topLinePunct w:val="0"/>
              <w:autoSpaceDE/>
              <w:autoSpaceDN/>
              <w:bidi w:val="0"/>
              <w:spacing w:after="0" w:line="360" w:lineRule="auto"/>
              <w:ind w:firstLine="470" w:firstLineChars="224"/>
              <w:rPr>
                <w:rFonts w:hint="eastAsia" w:ascii="宋体" w:hAnsi="宋体" w:eastAsia="宋体" w:cs="宋体"/>
                <w:sz w:val="21"/>
                <w:szCs w:val="21"/>
              </w:rPr>
            </w:pPr>
            <w:r>
              <w:rPr>
                <w:rFonts w:hint="eastAsia" w:ascii="宋体" w:hAnsi="宋体" w:eastAsia="宋体" w:cs="宋体"/>
                <w:sz w:val="21"/>
                <w:szCs w:val="21"/>
              </w:rPr>
              <w:t>④运输过程产生的扬尘</w:t>
            </w:r>
          </w:p>
          <w:p>
            <w:pPr>
              <w:pageBreakBefore w:val="0"/>
              <w:kinsoku/>
              <w:wordWrap/>
              <w:overflowPunct/>
              <w:topLinePunct w:val="0"/>
              <w:autoSpaceDE/>
              <w:autoSpaceDN/>
              <w:bidi w:val="0"/>
              <w:spacing w:after="0" w:line="360" w:lineRule="auto"/>
              <w:ind w:firstLine="470" w:firstLineChars="224"/>
              <w:rPr>
                <w:rFonts w:hint="eastAsia" w:ascii="宋体" w:hAnsi="宋体" w:eastAsia="宋体" w:cs="宋体"/>
                <w:sz w:val="21"/>
                <w:szCs w:val="21"/>
                <w:lang w:eastAsia="zh-CN"/>
              </w:rPr>
            </w:pPr>
            <w:r>
              <w:rPr>
                <w:rFonts w:hint="eastAsia" w:ascii="宋体" w:hAnsi="宋体" w:eastAsia="宋体" w:cs="宋体"/>
                <w:sz w:val="21"/>
                <w:szCs w:val="21"/>
              </w:rPr>
              <w:t>本项目营运期年需要煤炭5655t/a，运输车辆出入频繁。汽车运输时由于碾压卷带会产生扬尘，属无组织排放，会对沿途道路两侧环境造成一定的影响。</w:t>
            </w:r>
            <w:r>
              <w:rPr>
                <w:rFonts w:hint="eastAsia" w:ascii="宋体" w:hAnsi="宋体" w:eastAsia="宋体" w:cs="宋体"/>
                <w:sz w:val="21"/>
                <w:szCs w:val="21"/>
                <w:lang w:eastAsia="zh-CN"/>
              </w:rPr>
              <w:t>本项目</w:t>
            </w:r>
            <w:r>
              <w:rPr>
                <w:rFonts w:hint="eastAsia" w:ascii="宋体" w:hAnsi="宋体" w:eastAsia="宋体" w:cs="宋体"/>
                <w:sz w:val="21"/>
                <w:szCs w:val="21"/>
              </w:rPr>
              <w:t>在车辆上加盖防尘布，道路每天实施洒水抑尘作业4～5次，可使扬尘量减少90%左右</w:t>
            </w:r>
            <w:r>
              <w:rPr>
                <w:rFonts w:hint="eastAsia" w:ascii="宋体" w:hAnsi="宋体" w:eastAsia="宋体" w:cs="宋体"/>
                <w:sz w:val="21"/>
                <w:szCs w:val="21"/>
                <w:lang w:eastAsia="zh-CN"/>
              </w:rPr>
              <w:t>。</w:t>
            </w:r>
          </w:p>
          <w:p>
            <w:pPr>
              <w:pageBreakBefore w:val="0"/>
              <w:kinsoku/>
              <w:wordWrap/>
              <w:overflowPunct/>
              <w:topLinePunct w:val="0"/>
              <w:autoSpaceDE/>
              <w:autoSpaceDN/>
              <w:bidi w:val="0"/>
              <w:spacing w:after="0" w:line="360" w:lineRule="auto"/>
              <w:ind w:firstLine="472" w:firstLineChars="224"/>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 xml:space="preserve">3-4  </w:t>
            </w:r>
            <w:r>
              <w:rPr>
                <w:rFonts w:hint="eastAsia" w:ascii="宋体" w:hAnsi="宋体" w:eastAsia="宋体" w:cs="宋体"/>
                <w:b/>
                <w:bCs/>
                <w:sz w:val="21"/>
                <w:szCs w:val="21"/>
              </w:rPr>
              <w:t>本项目大气污染物排放及治理措施一览表</w:t>
            </w:r>
          </w:p>
          <w:tbl>
            <w:tblPr>
              <w:tblStyle w:val="10"/>
              <w:tblW w:w="8457" w:type="dxa"/>
              <w:jc w:val="center"/>
              <w:tblInd w:w="-352"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7"/>
              <w:gridCol w:w="1140"/>
              <w:gridCol w:w="59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98" w:hRule="atLeast"/>
                <w:jc w:val="center"/>
              </w:trPr>
              <w:tc>
                <w:tcPr>
                  <w:tcW w:w="13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排放源</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污染物</w:t>
                  </w:r>
                </w:p>
              </w:tc>
              <w:tc>
                <w:tcPr>
                  <w:tcW w:w="5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治理措施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57" w:hRule="atLeast"/>
                <w:jc w:val="center"/>
              </w:trPr>
              <w:tc>
                <w:tcPr>
                  <w:tcW w:w="132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热风炉</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颗粒物</w:t>
                  </w:r>
                </w:p>
              </w:tc>
              <w:tc>
                <w:tcPr>
                  <w:tcW w:w="599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热风炉烟气经</w:t>
                  </w:r>
                  <w:r>
                    <w:rPr>
                      <w:rFonts w:hint="eastAsia" w:ascii="宋体" w:hAnsi="宋体" w:eastAsia="宋体" w:cs="宋体"/>
                      <w:sz w:val="18"/>
                      <w:szCs w:val="18"/>
                      <w:lang w:eastAsia="zh-CN"/>
                    </w:rPr>
                    <w:t>旋风除尘</w:t>
                  </w:r>
                  <w:r>
                    <w:rPr>
                      <w:rFonts w:hint="eastAsia" w:ascii="宋体" w:hAnsi="宋体" w:eastAsia="宋体" w:cs="宋体"/>
                      <w:sz w:val="18"/>
                      <w:szCs w:val="18"/>
                      <w:lang w:val="en-US" w:eastAsia="zh-CN"/>
                    </w:rPr>
                    <w:t>+</w:t>
                  </w:r>
                  <w:r>
                    <w:rPr>
                      <w:rFonts w:hint="eastAsia" w:ascii="宋体" w:hAnsi="宋体" w:eastAsia="宋体" w:cs="宋体"/>
                      <w:sz w:val="18"/>
                      <w:szCs w:val="18"/>
                    </w:rPr>
                    <w:t>气箱脉冲袋式除尘器+脱硫塔脱硫处理处理，处理后的烟气经</w:t>
                  </w:r>
                  <w:r>
                    <w:rPr>
                      <w:rFonts w:hint="eastAsia" w:ascii="宋体" w:hAnsi="宋体" w:eastAsia="宋体" w:cs="宋体"/>
                      <w:sz w:val="18"/>
                      <w:szCs w:val="18"/>
                      <w:lang w:val="en-US" w:eastAsia="zh-CN"/>
                    </w:rPr>
                    <w:t>21</w:t>
                  </w:r>
                  <w:r>
                    <w:rPr>
                      <w:rFonts w:hint="eastAsia" w:ascii="宋体" w:hAnsi="宋体" w:eastAsia="宋体" w:cs="宋体"/>
                      <w:sz w:val="18"/>
                      <w:szCs w:val="18"/>
                    </w:rPr>
                    <w:t>m高烟囱达标排放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14" w:hRule="atLeast"/>
                <w:jc w:val="center"/>
              </w:trPr>
              <w:tc>
                <w:tcPr>
                  <w:tcW w:w="13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SO</w:t>
                  </w:r>
                  <w:r>
                    <w:rPr>
                      <w:rFonts w:hint="eastAsia" w:ascii="宋体" w:hAnsi="宋体" w:eastAsia="宋体" w:cs="宋体"/>
                      <w:sz w:val="18"/>
                      <w:szCs w:val="18"/>
                      <w:vertAlign w:val="subscript"/>
                    </w:rPr>
                    <w:t>2</w:t>
                  </w:r>
                </w:p>
              </w:tc>
              <w:tc>
                <w:tcPr>
                  <w:tcW w:w="59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20" w:hRule="atLeast"/>
                <w:jc w:val="center"/>
              </w:trPr>
              <w:tc>
                <w:tcPr>
                  <w:tcW w:w="132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NO</w:t>
                  </w:r>
                  <w:r>
                    <w:rPr>
                      <w:rFonts w:hint="eastAsia" w:ascii="宋体" w:hAnsi="宋体" w:eastAsia="宋体" w:cs="宋体"/>
                      <w:sz w:val="18"/>
                      <w:szCs w:val="18"/>
                      <w:vertAlign w:val="subscript"/>
                    </w:rPr>
                    <w:t>X</w:t>
                  </w:r>
                </w:p>
              </w:tc>
              <w:tc>
                <w:tcPr>
                  <w:tcW w:w="59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32" w:hRule="atLeast"/>
                <w:jc w:val="center"/>
              </w:trPr>
              <w:tc>
                <w:tcPr>
                  <w:tcW w:w="13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皮带输送</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粉尘</w:t>
                  </w:r>
                </w:p>
              </w:tc>
              <w:tc>
                <w:tcPr>
                  <w:tcW w:w="5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lang w:val="fr-FR" w:eastAsia="zh-CN"/>
                    </w:rPr>
                  </w:pPr>
                  <w:r>
                    <w:rPr>
                      <w:rFonts w:hint="eastAsia" w:ascii="宋体" w:hAnsi="宋体" w:eastAsia="宋体" w:cs="宋体"/>
                      <w:sz w:val="18"/>
                      <w:szCs w:val="18"/>
                    </w:rPr>
                    <w:t>本项目输送皮带在全封闭车间内，可确保90%以上粉尘不向外环境扩散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jc w:val="center"/>
              </w:trPr>
              <w:tc>
                <w:tcPr>
                  <w:tcW w:w="13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成品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下料口</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粉尘</w:t>
                  </w:r>
                </w:p>
              </w:tc>
              <w:tc>
                <w:tcPr>
                  <w:tcW w:w="5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由于下料口为封闭式，且安装有转接口，可确保90%以上粉尘不向外环境扩散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00" w:hRule="atLeast"/>
                <w:jc w:val="center"/>
              </w:trPr>
              <w:tc>
                <w:tcPr>
                  <w:tcW w:w="13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运输</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扬尘</w:t>
                  </w:r>
                </w:p>
              </w:tc>
              <w:tc>
                <w:tcPr>
                  <w:tcW w:w="5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outlineLvl w:val="9"/>
                    <w:rPr>
                      <w:rFonts w:hint="eastAsia" w:ascii="宋体" w:hAnsi="宋体" w:eastAsia="宋体" w:cs="宋体"/>
                      <w:sz w:val="18"/>
                      <w:szCs w:val="18"/>
                    </w:rPr>
                  </w:pPr>
                  <w:r>
                    <w:rPr>
                      <w:rFonts w:hint="eastAsia" w:ascii="宋体" w:hAnsi="宋体" w:eastAsia="宋体" w:cs="宋体"/>
                      <w:sz w:val="18"/>
                      <w:szCs w:val="18"/>
                    </w:rPr>
                    <w:t>在车辆上加盖防尘布，道路每天实施洒水抑尘作业4～5次，可使扬尘量减少90%左右</w:t>
                  </w:r>
                </w:p>
              </w:tc>
            </w:tr>
          </w:tbl>
          <w:p>
            <w:pPr>
              <w:pageBreakBefore w:val="0"/>
              <w:kinsoku/>
              <w:wordWrap/>
              <w:overflowPunct/>
              <w:topLinePunct w:val="0"/>
              <w:autoSpaceDE/>
              <w:autoSpaceDN/>
              <w:bidi w:val="0"/>
              <w:spacing w:before="240" w:after="0" w:line="360" w:lineRule="auto"/>
              <w:ind w:firstLine="413" w:firstLineChars="197"/>
              <w:rPr>
                <w:rFonts w:hint="eastAsia" w:ascii="宋体" w:hAnsi="宋体" w:eastAsia="宋体" w:cs="宋体"/>
                <w:sz w:val="21"/>
                <w:szCs w:val="21"/>
                <w:lang w:val="en-US" w:eastAsia="zh-CN"/>
              </w:rPr>
            </w:pPr>
            <w:r>
              <w:rPr>
                <w:rFonts w:hint="eastAsia" w:ascii="宋体" w:hAnsi="宋体" w:eastAsia="宋体" w:cs="宋体"/>
                <w:sz w:val="21"/>
                <w:szCs w:val="21"/>
              </w:rPr>
              <w:t>根据以上分析，在落实本环评提出的环保措施后，本项目运营期对周围大气环境的影响较小。</w:t>
            </w:r>
          </w:p>
          <w:p>
            <w:pPr>
              <w:pageBreakBefore w:val="0"/>
              <w:tabs>
                <w:tab w:val="left" w:pos="1337"/>
              </w:tabs>
              <w:kinsoku/>
              <w:wordWrap/>
              <w:overflowPunct/>
              <w:topLinePunct w:val="0"/>
              <w:autoSpaceDE/>
              <w:autoSpaceDN/>
              <w:bidi w:val="0"/>
              <w:spacing w:after="0" w:line="36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 xml:space="preserve">3-5  </w:t>
            </w:r>
            <w:r>
              <w:rPr>
                <w:rFonts w:hint="eastAsia" w:ascii="宋体" w:hAnsi="宋体" w:eastAsia="宋体" w:cs="宋体"/>
                <w:b/>
                <w:bCs/>
                <w:sz w:val="21"/>
                <w:szCs w:val="21"/>
                <w:lang w:eastAsia="zh-CN"/>
              </w:rPr>
              <w:t>废气治理情况一览表</w:t>
            </w:r>
          </w:p>
          <w:tbl>
            <w:tblPr>
              <w:tblStyle w:val="10"/>
              <w:tblW w:w="8672" w:type="dxa"/>
              <w:jc w:val="center"/>
              <w:tblInd w:w="-1262"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4"/>
              <w:gridCol w:w="717"/>
              <w:gridCol w:w="613"/>
              <w:gridCol w:w="837"/>
              <w:gridCol w:w="700"/>
              <w:gridCol w:w="1473"/>
              <w:gridCol w:w="1002"/>
              <w:gridCol w:w="626"/>
              <w:gridCol w:w="887"/>
              <w:gridCol w:w="643"/>
              <w:gridCol w:w="7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9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序号</w:t>
                  </w:r>
                </w:p>
              </w:tc>
              <w:tc>
                <w:tcPr>
                  <w:tcW w:w="717"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废气名称</w:t>
                  </w:r>
                </w:p>
              </w:tc>
              <w:tc>
                <w:tcPr>
                  <w:tcW w:w="613"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来源</w:t>
                  </w:r>
                </w:p>
              </w:tc>
              <w:tc>
                <w:tcPr>
                  <w:tcW w:w="837"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污染物种类</w:t>
                  </w:r>
                </w:p>
              </w:tc>
              <w:tc>
                <w:tcPr>
                  <w:tcW w:w="700"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排放方式</w:t>
                  </w:r>
                </w:p>
              </w:tc>
              <w:tc>
                <w:tcPr>
                  <w:tcW w:w="1473"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治理设施</w:t>
                  </w:r>
                </w:p>
              </w:tc>
              <w:tc>
                <w:tcPr>
                  <w:tcW w:w="100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工艺与规模</w:t>
                  </w:r>
                </w:p>
              </w:tc>
              <w:tc>
                <w:tcPr>
                  <w:tcW w:w="626"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设计指标</w:t>
                  </w:r>
                </w:p>
              </w:tc>
              <w:tc>
                <w:tcPr>
                  <w:tcW w:w="887"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排气筒高度及内径尺寸</w:t>
                  </w:r>
                </w:p>
              </w:tc>
              <w:tc>
                <w:tcPr>
                  <w:tcW w:w="643"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排放去向</w:t>
                  </w:r>
                </w:p>
              </w:tc>
              <w:tc>
                <w:tcPr>
                  <w:tcW w:w="780"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治理设施监测点设置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jc w:val="center"/>
              </w:trPr>
              <w:tc>
                <w:tcPr>
                  <w:tcW w:w="394"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71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热风炉废气</w:t>
                  </w:r>
                </w:p>
              </w:tc>
              <w:tc>
                <w:tcPr>
                  <w:tcW w:w="61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热风炉</w:t>
                  </w:r>
                </w:p>
              </w:tc>
              <w:tc>
                <w:tcPr>
                  <w:tcW w:w="83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颗粒物</w:t>
                  </w:r>
                </w:p>
                <w:p>
                  <w:pPr>
                    <w:pStyle w:val="2"/>
                    <w:pageBreakBefore w:val="0"/>
                    <w:kinsoku/>
                    <w:wordWrap/>
                    <w:overflowPunct/>
                    <w:topLinePunct w:val="0"/>
                    <w:autoSpaceDE/>
                    <w:autoSpaceDN/>
                    <w:bidi w:val="0"/>
                    <w:spacing w:after="0" w:line="360" w:lineRule="auto"/>
                    <w:ind w:left="0" w:leftChars="0" w:firstLine="0" w:firstLine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SO2</w:t>
                  </w:r>
                </w:p>
                <w:p>
                  <w:pPr>
                    <w:pStyle w:val="2"/>
                    <w:pageBreakBefore w:val="0"/>
                    <w:kinsoku/>
                    <w:wordWrap/>
                    <w:overflowPunct/>
                    <w:topLinePunct w:val="0"/>
                    <w:autoSpaceDE/>
                    <w:autoSpaceDN/>
                    <w:bidi w:val="0"/>
                    <w:spacing w:after="0" w:line="360" w:lineRule="auto"/>
                    <w:ind w:left="0" w:leftChars="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NOX</w:t>
                  </w:r>
                </w:p>
              </w:tc>
              <w:tc>
                <w:tcPr>
                  <w:tcW w:w="700"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有组织</w:t>
                  </w:r>
                </w:p>
              </w:tc>
              <w:tc>
                <w:tcPr>
                  <w:tcW w:w="147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1套旋风除尘+气箱脉冲袋式除尘+脱硫塔+21m高排气筒</w:t>
                  </w:r>
                </w:p>
              </w:tc>
              <w:tc>
                <w:tcPr>
                  <w:tcW w:w="100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eastAsia="zh-CN"/>
                    </w:rPr>
                    <w:t>旋风除尘</w:t>
                  </w:r>
                  <w:r>
                    <w:rPr>
                      <w:rFonts w:hint="eastAsia" w:ascii="宋体" w:hAnsi="宋体" w:eastAsia="宋体" w:cs="宋体"/>
                      <w:sz w:val="18"/>
                      <w:szCs w:val="18"/>
                      <w:lang w:val="en-US" w:eastAsia="zh-CN"/>
                    </w:rPr>
                    <w:t>+布袋除尘+双碱法脱硫</w:t>
                  </w:r>
                </w:p>
              </w:tc>
              <w:tc>
                <w:tcPr>
                  <w:tcW w:w="626"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88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H=21m，φ=1.2m</w:t>
                  </w:r>
                </w:p>
              </w:tc>
              <w:tc>
                <w:tcPr>
                  <w:tcW w:w="64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大气</w:t>
                  </w:r>
                </w:p>
              </w:tc>
              <w:tc>
                <w:tcPr>
                  <w:tcW w:w="780"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废气进、出口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394"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71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皮带输送粉尘</w:t>
                  </w:r>
                </w:p>
              </w:tc>
              <w:tc>
                <w:tcPr>
                  <w:tcW w:w="61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皮带输送</w:t>
                  </w:r>
                </w:p>
              </w:tc>
              <w:tc>
                <w:tcPr>
                  <w:tcW w:w="83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颗粒物</w:t>
                  </w:r>
                </w:p>
              </w:tc>
              <w:tc>
                <w:tcPr>
                  <w:tcW w:w="700"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无组织</w:t>
                  </w:r>
                </w:p>
              </w:tc>
              <w:tc>
                <w:tcPr>
                  <w:tcW w:w="147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输送皮带在全封闭车间内</w:t>
                  </w:r>
                </w:p>
              </w:tc>
              <w:tc>
                <w:tcPr>
                  <w:tcW w:w="100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26"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88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4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大气</w:t>
                  </w:r>
                </w:p>
              </w:tc>
              <w:tc>
                <w:tcPr>
                  <w:tcW w:w="780" w:type="dxa"/>
                  <w:vMerge w:val="restart"/>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厂界上、下风向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394"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71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成品下料仓粉尘</w:t>
                  </w:r>
                </w:p>
              </w:tc>
              <w:tc>
                <w:tcPr>
                  <w:tcW w:w="61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成品下料仓</w:t>
                  </w:r>
                </w:p>
              </w:tc>
              <w:tc>
                <w:tcPr>
                  <w:tcW w:w="83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颗粒物</w:t>
                  </w:r>
                </w:p>
              </w:tc>
              <w:tc>
                <w:tcPr>
                  <w:tcW w:w="700"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无组织</w:t>
                  </w:r>
                </w:p>
              </w:tc>
              <w:tc>
                <w:tcPr>
                  <w:tcW w:w="147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下料口为封闭式，且安装有转接口</w:t>
                  </w:r>
                </w:p>
              </w:tc>
              <w:tc>
                <w:tcPr>
                  <w:tcW w:w="100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26"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88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4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大气</w:t>
                  </w:r>
                </w:p>
              </w:tc>
              <w:tc>
                <w:tcPr>
                  <w:tcW w:w="780" w:type="dxa"/>
                  <w:vMerge w:val="continue"/>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394"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71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运输扬尘</w:t>
                  </w:r>
                </w:p>
              </w:tc>
              <w:tc>
                <w:tcPr>
                  <w:tcW w:w="61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运输</w:t>
                  </w:r>
                </w:p>
              </w:tc>
              <w:tc>
                <w:tcPr>
                  <w:tcW w:w="83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颗粒物</w:t>
                  </w:r>
                </w:p>
              </w:tc>
              <w:tc>
                <w:tcPr>
                  <w:tcW w:w="700"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无组织</w:t>
                  </w:r>
                </w:p>
              </w:tc>
              <w:tc>
                <w:tcPr>
                  <w:tcW w:w="147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rPr>
                    <w:t>车辆上加盖防尘布，道路每天实施洒水抑尘</w:t>
                  </w:r>
                  <w:r>
                    <w:rPr>
                      <w:rFonts w:hint="eastAsia" w:ascii="宋体" w:hAnsi="宋体" w:eastAsia="宋体" w:cs="宋体"/>
                      <w:sz w:val="18"/>
                      <w:szCs w:val="18"/>
                      <w:lang w:eastAsia="zh-CN"/>
                    </w:rPr>
                    <w:t>作业</w:t>
                  </w:r>
                  <w:r>
                    <w:rPr>
                      <w:rFonts w:hint="eastAsia" w:ascii="宋体" w:hAnsi="宋体" w:eastAsia="宋体" w:cs="宋体"/>
                      <w:sz w:val="18"/>
                      <w:szCs w:val="18"/>
                      <w:lang w:val="en-US" w:eastAsia="zh-CN"/>
                    </w:rPr>
                    <w:t>4-5次</w:t>
                  </w:r>
                </w:p>
              </w:tc>
              <w:tc>
                <w:tcPr>
                  <w:tcW w:w="100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26"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887"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c>
                <w:tcPr>
                  <w:tcW w:w="643"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大气</w:t>
                  </w:r>
                </w:p>
              </w:tc>
              <w:tc>
                <w:tcPr>
                  <w:tcW w:w="780" w:type="dxa"/>
                  <w:vMerge w:val="continue"/>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sz w:val="18"/>
                      <w:szCs w:val="18"/>
                      <w:lang w:eastAsia="zh-CN"/>
                    </w:rPr>
                  </w:pPr>
                </w:p>
              </w:tc>
            </w:tr>
          </w:tbl>
          <w:p>
            <w:pPr>
              <w:pStyle w:val="2"/>
              <w:pageBreakBefore w:val="0"/>
              <w:kinsoku/>
              <w:wordWrap/>
              <w:overflowPunct/>
              <w:topLinePunct w:val="0"/>
              <w:autoSpaceDE/>
              <w:autoSpaceDN/>
              <w:bidi w:val="0"/>
              <w:spacing w:after="0" w:line="360" w:lineRule="auto"/>
              <w:ind w:left="0" w:leftChars="0" w:firstLine="0" w:firstLineChars="0"/>
              <w:rPr>
                <w:rFonts w:hint="eastAsia"/>
                <w:lang w:val="en-US" w:eastAsia="zh-CN"/>
              </w:rPr>
            </w:pP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851"/>
              <w:gridCol w:w="1989"/>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663065" cy="2216785"/>
                        <wp:effectExtent l="0" t="0" r="13335" b="12065"/>
                        <wp:docPr id="27" name="图片 27" descr="IMG_20180608_09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80608_093624"/>
                                <pic:cNvPicPr>
                                  <a:picLocks noChangeAspect="1"/>
                                </pic:cNvPicPr>
                              </pic:nvPicPr>
                              <pic:blipFill>
                                <a:blip r:embed="rId16"/>
                                <a:stretch>
                                  <a:fillRect/>
                                </a:stretch>
                              </pic:blipFill>
                              <pic:spPr>
                                <a:xfrm>
                                  <a:off x="0" y="0"/>
                                  <a:ext cx="1663065" cy="2216785"/>
                                </a:xfrm>
                                <a:prstGeom prst="rect">
                                  <a:avLst/>
                                </a:prstGeom>
                              </pic:spPr>
                            </pic:pic>
                          </a:graphicData>
                        </a:graphic>
                      </wp:inline>
                    </w:drawing>
                  </w:r>
                </w:p>
              </w:tc>
              <w:tc>
                <w:tcPr>
                  <w:tcW w:w="2840" w:type="dxa"/>
                  <w:gridSpan w:val="2"/>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663065" cy="2216785"/>
                        <wp:effectExtent l="0" t="0" r="13335" b="12065"/>
                        <wp:docPr id="29" name="图片 29" descr="IMG_20180608_09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80608_090401"/>
                                <pic:cNvPicPr>
                                  <a:picLocks noChangeAspect="1"/>
                                </pic:cNvPicPr>
                              </pic:nvPicPr>
                              <pic:blipFill>
                                <a:blip r:embed="rId24"/>
                                <a:stretch>
                                  <a:fillRect/>
                                </a:stretch>
                              </pic:blipFill>
                              <pic:spPr>
                                <a:xfrm>
                                  <a:off x="0" y="0"/>
                                  <a:ext cx="1663065" cy="2216785"/>
                                </a:xfrm>
                                <a:prstGeom prst="rect">
                                  <a:avLst/>
                                </a:prstGeom>
                              </pic:spPr>
                            </pic:pic>
                          </a:graphicData>
                        </a:graphic>
                      </wp:inline>
                    </w:drawing>
                  </w:r>
                </w:p>
              </w:tc>
              <w:tc>
                <w:tcPr>
                  <w:tcW w:w="2842" w:type="dxa"/>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663065" cy="2216785"/>
                        <wp:effectExtent l="0" t="0" r="13335" b="12065"/>
                        <wp:docPr id="30" name="图片 30" descr="IMG_20180608_09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180608_094707"/>
                                <pic:cNvPicPr>
                                  <a:picLocks noChangeAspect="1"/>
                                </pic:cNvPicPr>
                              </pic:nvPicPr>
                              <pic:blipFill>
                                <a:blip r:embed="rId25"/>
                                <a:stretch>
                                  <a:fillRect/>
                                </a:stretch>
                              </pic:blipFill>
                              <pic:spPr>
                                <a:xfrm>
                                  <a:off x="0" y="0"/>
                                  <a:ext cx="1663065" cy="2216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ascii="宋体" w:hAnsi="宋体" w:eastAsia="宋体" w:cs="宋体"/>
                      <w:kern w:val="0"/>
                      <w:sz w:val="21"/>
                      <w:szCs w:val="21"/>
                      <w:lang w:val="en-US" w:eastAsia="zh-CN"/>
                    </w:rPr>
                    <w:t>热风炉废气治理设施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91" w:type="dxa"/>
                  <w:gridSpan w:val="2"/>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541780" cy="2055495"/>
                        <wp:effectExtent l="0" t="0" r="1270" b="1905"/>
                        <wp:docPr id="31" name="图片 31" descr="IMG_20180608_09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80608_095338"/>
                                <pic:cNvPicPr>
                                  <a:picLocks noChangeAspect="1"/>
                                </pic:cNvPicPr>
                              </pic:nvPicPr>
                              <pic:blipFill>
                                <a:blip r:embed="rId26"/>
                                <a:stretch>
                                  <a:fillRect/>
                                </a:stretch>
                              </pic:blipFill>
                              <pic:spPr>
                                <a:xfrm>
                                  <a:off x="0" y="0"/>
                                  <a:ext cx="1541780" cy="2055495"/>
                                </a:xfrm>
                                <a:prstGeom prst="rect">
                                  <a:avLst/>
                                </a:prstGeom>
                              </pic:spPr>
                            </pic:pic>
                          </a:graphicData>
                        </a:graphic>
                      </wp:inline>
                    </w:drawing>
                  </w:r>
                </w:p>
              </w:tc>
              <w:tc>
                <w:tcPr>
                  <w:tcW w:w="4831" w:type="dxa"/>
                  <w:gridSpan w:val="2"/>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2683510" cy="2012950"/>
                        <wp:effectExtent l="0" t="0" r="2540" b="6350"/>
                        <wp:docPr id="32" name="图片 32" descr="IMG_20180608_09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180608_090258"/>
                                <pic:cNvPicPr>
                                  <a:picLocks noChangeAspect="1"/>
                                </pic:cNvPicPr>
                              </pic:nvPicPr>
                              <pic:blipFill>
                                <a:blip r:embed="rId18"/>
                                <a:stretch>
                                  <a:fillRect/>
                                </a:stretch>
                              </pic:blipFill>
                              <pic:spPr>
                                <a:xfrm>
                                  <a:off x="0" y="0"/>
                                  <a:ext cx="2683510" cy="2012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91" w:type="dxa"/>
                  <w:gridSpan w:val="2"/>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皮带输送</w:t>
                  </w:r>
                </w:p>
              </w:tc>
              <w:tc>
                <w:tcPr>
                  <w:tcW w:w="4831" w:type="dxa"/>
                  <w:gridSpan w:val="2"/>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成品下料仓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604645" cy="2139950"/>
                        <wp:effectExtent l="0" t="0" r="14605" b="12700"/>
                        <wp:docPr id="33" name="图片 33" descr="IMG_20180608_09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180608_090344"/>
                                <pic:cNvPicPr>
                                  <a:picLocks noChangeAspect="1"/>
                                </pic:cNvPicPr>
                              </pic:nvPicPr>
                              <pic:blipFill>
                                <a:blip r:embed="rId27"/>
                                <a:stretch>
                                  <a:fillRect/>
                                </a:stretch>
                              </pic:blipFill>
                              <pic:spPr>
                                <a:xfrm>
                                  <a:off x="0" y="0"/>
                                  <a:ext cx="1604645" cy="2139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trPr>
              <w:tc>
                <w:tcPr>
                  <w:tcW w:w="8522" w:type="dxa"/>
                  <w:gridSpan w:val="4"/>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ascii="宋体" w:hAnsi="宋体" w:eastAsia="宋体" w:cs="宋体"/>
                      <w:kern w:val="0"/>
                      <w:sz w:val="21"/>
                      <w:szCs w:val="21"/>
                      <w:lang w:val="en-US" w:eastAsia="zh-CN"/>
                    </w:rPr>
                    <w:t>产品装车过程中产生的粉尘</w:t>
                  </w:r>
                </w:p>
              </w:tc>
            </w:tr>
          </w:tbl>
          <w:p>
            <w:pPr>
              <w:pageBreakBefore w:val="0"/>
              <w:kinsoku/>
              <w:wordWrap/>
              <w:overflowPunct/>
              <w:topLinePunct w:val="0"/>
              <w:autoSpaceDE/>
              <w:autoSpaceDN/>
              <w:bidi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3、噪声</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（1）设备噪声</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项目噪声主要为热风炉、气箱脉冲袋式除尘器、脱硫塔、引风机等产生的噪声，噪声源强在70～100dB(A)之间，本项目生产设备采取的措施见表3-4。 </w:t>
            </w:r>
          </w:p>
          <w:p>
            <w:pPr>
              <w:pageBreakBefore w:val="0"/>
              <w:tabs>
                <w:tab w:val="left" w:pos="1337"/>
              </w:tabs>
              <w:kinsoku/>
              <w:wordWrap/>
              <w:overflowPunct/>
              <w:topLinePunct w:val="0"/>
              <w:autoSpaceDE/>
              <w:autoSpaceDN/>
              <w:bidi w:val="0"/>
              <w:spacing w:after="0" w:line="360" w:lineRule="auto"/>
              <w:jc w:val="center"/>
              <w:rPr>
                <w:rFonts w:hint="eastAsia" w:ascii="宋体" w:hAnsi="宋体" w:eastAsia="宋体" w:cs="宋体"/>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 xml:space="preserve">3-6  </w:t>
            </w:r>
            <w:r>
              <w:rPr>
                <w:rFonts w:hint="eastAsia" w:ascii="宋体" w:hAnsi="宋体" w:eastAsia="宋体" w:cs="宋体"/>
                <w:b/>
                <w:bCs/>
                <w:sz w:val="21"/>
                <w:szCs w:val="21"/>
              </w:rPr>
              <w:t>项目主要噪声源及防治措施</w:t>
            </w:r>
          </w:p>
          <w:tbl>
            <w:tblPr>
              <w:tblStyle w:val="10"/>
              <w:tblW w:w="852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2"/>
              <w:gridCol w:w="1854"/>
              <w:gridCol w:w="1122"/>
              <w:gridCol w:w="2762"/>
              <w:gridCol w:w="1261"/>
              <w:gridCol w:w="8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序号</w:t>
                  </w:r>
                </w:p>
              </w:tc>
              <w:tc>
                <w:tcPr>
                  <w:tcW w:w="185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主要噪声源</w:t>
                  </w:r>
                </w:p>
              </w:tc>
              <w:tc>
                <w:tcPr>
                  <w:tcW w:w="112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运行规律</w:t>
                  </w:r>
                </w:p>
              </w:tc>
              <w:tc>
                <w:tcPr>
                  <w:tcW w:w="27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噪声防治措施</w:t>
                  </w:r>
                </w:p>
              </w:tc>
              <w:tc>
                <w:tcPr>
                  <w:tcW w:w="12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治理前dB(A)</w:t>
                  </w:r>
                </w:p>
              </w:tc>
              <w:tc>
                <w:tcPr>
                  <w:tcW w:w="8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治理后dB(A)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1</w:t>
                  </w:r>
                </w:p>
              </w:tc>
              <w:tc>
                <w:tcPr>
                  <w:tcW w:w="185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热风炉</w:t>
                  </w:r>
                </w:p>
              </w:tc>
              <w:tc>
                <w:tcPr>
                  <w:tcW w:w="112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连续运行</w:t>
                  </w:r>
                </w:p>
              </w:tc>
              <w:tc>
                <w:tcPr>
                  <w:tcW w:w="276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选用低噪声设备，基础减振</w:t>
                  </w:r>
                </w:p>
              </w:tc>
              <w:tc>
                <w:tcPr>
                  <w:tcW w:w="12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100</w:t>
                  </w:r>
                </w:p>
              </w:tc>
              <w:tc>
                <w:tcPr>
                  <w:tcW w:w="861"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&lt;75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2</w:t>
                  </w:r>
                </w:p>
              </w:tc>
              <w:tc>
                <w:tcPr>
                  <w:tcW w:w="185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干燥机</w:t>
                  </w:r>
                </w:p>
              </w:tc>
              <w:tc>
                <w:tcPr>
                  <w:tcW w:w="112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连续运行</w:t>
                  </w:r>
                </w:p>
              </w:tc>
              <w:tc>
                <w:tcPr>
                  <w:tcW w:w="276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选用低噪声设备，基础减振</w:t>
                  </w:r>
                </w:p>
              </w:tc>
              <w:tc>
                <w:tcPr>
                  <w:tcW w:w="12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80</w:t>
                  </w:r>
                </w:p>
              </w:tc>
              <w:tc>
                <w:tcPr>
                  <w:tcW w:w="861"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&lt;75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3</w:t>
                  </w:r>
                </w:p>
              </w:tc>
              <w:tc>
                <w:tcPr>
                  <w:tcW w:w="185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气箱脉冲袋式</w:t>
                  </w:r>
                </w:p>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除尘器</w:t>
                  </w:r>
                </w:p>
              </w:tc>
              <w:tc>
                <w:tcPr>
                  <w:tcW w:w="112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连续运行</w:t>
                  </w:r>
                </w:p>
              </w:tc>
              <w:tc>
                <w:tcPr>
                  <w:tcW w:w="2762"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基础减振</w:t>
                  </w:r>
                </w:p>
              </w:tc>
              <w:tc>
                <w:tcPr>
                  <w:tcW w:w="12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95</w:t>
                  </w:r>
                </w:p>
              </w:tc>
              <w:tc>
                <w:tcPr>
                  <w:tcW w:w="861" w:type="dxa"/>
                  <w:tcBorders>
                    <w:tl2br w:val="nil"/>
                    <w:tr2bl w:val="nil"/>
                  </w:tcBorders>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&lt;75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4</w:t>
                  </w:r>
                </w:p>
              </w:tc>
              <w:tc>
                <w:tcPr>
                  <w:tcW w:w="185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引风机</w:t>
                  </w:r>
                </w:p>
              </w:tc>
              <w:tc>
                <w:tcPr>
                  <w:tcW w:w="112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连续运行</w:t>
                  </w:r>
                </w:p>
              </w:tc>
              <w:tc>
                <w:tcPr>
                  <w:tcW w:w="27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基础减振</w:t>
                  </w:r>
                </w:p>
              </w:tc>
              <w:tc>
                <w:tcPr>
                  <w:tcW w:w="12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80</w:t>
                  </w:r>
                </w:p>
              </w:tc>
              <w:tc>
                <w:tcPr>
                  <w:tcW w:w="8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&lt;75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5</w:t>
                  </w:r>
                </w:p>
              </w:tc>
              <w:tc>
                <w:tcPr>
                  <w:tcW w:w="1854"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压滤机</w:t>
                  </w:r>
                </w:p>
              </w:tc>
              <w:tc>
                <w:tcPr>
                  <w:tcW w:w="112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连续运行</w:t>
                  </w:r>
                </w:p>
              </w:tc>
              <w:tc>
                <w:tcPr>
                  <w:tcW w:w="2762"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基础减振</w:t>
                  </w:r>
                </w:p>
              </w:tc>
              <w:tc>
                <w:tcPr>
                  <w:tcW w:w="12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80</w:t>
                  </w:r>
                </w:p>
              </w:tc>
              <w:tc>
                <w:tcPr>
                  <w:tcW w:w="861" w:type="dxa"/>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&lt;75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22" w:type="dxa"/>
                  <w:gridSpan w:val="6"/>
                  <w:tcBorders>
                    <w:tl2br w:val="nil"/>
                    <w:tr2bl w:val="nil"/>
                  </w:tcBorders>
                  <w:vAlign w:val="center"/>
                </w:tcPr>
                <w:p>
                  <w:pPr>
                    <w:pStyle w:val="20"/>
                    <w:pageBreakBefore w:val="0"/>
                    <w:kinsoku/>
                    <w:wordWrap/>
                    <w:overflowPunct/>
                    <w:topLinePunct w:val="0"/>
                    <w:autoSpaceDE/>
                    <w:autoSpaceDN/>
                    <w:bidi w:val="0"/>
                    <w:snapToGrid w:val="0"/>
                    <w:spacing w:after="0" w:line="360" w:lineRule="auto"/>
                    <w:jc w:val="center"/>
                    <w:rPr>
                      <w:rFonts w:hint="eastAsia" w:ascii="宋体" w:hAnsi="宋体" w:eastAsia="宋体" w:cs="宋体"/>
                      <w:b w:val="0"/>
                      <w:bCs/>
                      <w:sz w:val="18"/>
                      <w:szCs w:val="18"/>
                    </w:rPr>
                  </w:pPr>
                  <w:r>
                    <w:rPr>
                      <w:rFonts w:hint="eastAsia" w:ascii="宋体" w:hAnsi="宋体" w:eastAsia="宋体" w:cs="宋体"/>
                      <w:b w:val="0"/>
                      <w:bCs/>
                      <w:sz w:val="18"/>
                      <w:szCs w:val="18"/>
                    </w:rPr>
                    <w:t>所有设备在同一封闭车间内</w:t>
                  </w:r>
                </w:p>
              </w:tc>
            </w:tr>
          </w:tbl>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采取措施后的声源噪声值为59～75dB(A)，经距离衰减可实现厂界噪声达标排放，满足《工业企业厂界环境噪声排放标准》（GB12348-2008）中2类声环境功能区标准限值。</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评价补充要求：①厂房在选用新设备时，优先选用低噪环保设备，从声源上降低噪声；②车间周边及空地设绿化，选择阔叶树种，乔灌结合；③加强个人防护，如给长期在高噪声环境中工作的人员配发防噪耳塞、耳罩，有条件时应设置岗位隔声间等。</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（2）车辆噪声</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车辆在行驶中会产生噪声，通过控制车速，禁止鸣笛，并尽量减少夜间运输，可有效降低运输车辆噪声影响。</w:t>
            </w:r>
          </w:p>
          <w:p>
            <w:pPr>
              <w:pageBreakBefore w:val="0"/>
              <w:kinsoku/>
              <w:wordWrap/>
              <w:overflowPunct/>
              <w:topLinePunct w:val="0"/>
              <w:autoSpaceDE/>
              <w:autoSpaceDN/>
              <w:bidi w:val="0"/>
              <w:spacing w:after="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4、固体废物</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本项目运营过程产生的固体废物主要是燃烧炉产生的炉渣、收尘灰、沉淀池底泥和职工生活垃圾。</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（1）收集的除尘灰</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本项目除尘器产生的除尘灰收集运至大阳煤矿煤矸石砖厂原料堆作制砖原料，达到综合利用的目的。</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（2）热风炉产生的炉渣</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本项目热风炉采用RML-10型，产生的炉渣全部全部运至大阳煤矿煤矸石砖厂原料堆作制砖原料，达到综合利用的目的。</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（3）沉淀池底泥</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产生的烟气经旋风除尘器+气箱脉冲袋式除尘器+脱硫塔处理，脱硫塔产生的废水经车间的沉淀池沉淀处理，处理后的上清液回用。项目沉淀池产生的底泥属于煤泥，产生的底泥送至压滤车间进行压滤，达到综合利用的目的。</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（4）脱硫塔脱硫渣</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本项目脱硫塔产生的脱硫渣送至全部运至大阳煤矿煤矸石砖厂原料堆作制砖原料。</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（5）生活垃圾</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本项目劳动定员24人，按每人每天 0.5kg 计算，则项目生活垃圾产生量为3.96t/a。车间设有垃圾桶5个，由大阳煤矿环卫部门定期清理。</w:t>
            </w:r>
          </w:p>
          <w:p>
            <w:pPr>
              <w:pageBreakBefore w:val="0"/>
              <w:kinsoku/>
              <w:wordWrap/>
              <w:overflowPunct/>
              <w:topLinePunct w:val="0"/>
              <w:autoSpaceDE/>
              <w:autoSpaceDN/>
              <w:bidi w:val="0"/>
              <w:spacing w:after="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综上所述，本项目运营期产生的固体废物采取以上防治措施后可得到有效处置，对周围环境的影响较小。</w:t>
            </w:r>
          </w:p>
          <w:p>
            <w:pPr>
              <w:pageBreakBefore w:val="0"/>
              <w:tabs>
                <w:tab w:val="left" w:pos="1337"/>
              </w:tabs>
              <w:kinsoku/>
              <w:wordWrap/>
              <w:overflowPunct/>
              <w:topLinePunct w:val="0"/>
              <w:autoSpaceDE/>
              <w:autoSpaceDN/>
              <w:bidi w:val="0"/>
              <w:spacing w:after="0" w:line="36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 xml:space="preserve">3-8  </w:t>
            </w:r>
            <w:r>
              <w:rPr>
                <w:rFonts w:hint="eastAsia" w:ascii="宋体" w:hAnsi="宋体" w:eastAsia="宋体" w:cs="宋体"/>
                <w:b/>
                <w:bCs/>
                <w:sz w:val="21"/>
                <w:szCs w:val="21"/>
                <w:lang w:eastAsia="zh-CN"/>
              </w:rPr>
              <w:t>固体废物处置情况一览表</w:t>
            </w:r>
          </w:p>
          <w:tbl>
            <w:tblPr>
              <w:tblStyle w:val="10"/>
              <w:tblW w:w="8238" w:type="dxa"/>
              <w:jc w:val="center"/>
              <w:tblInd w:w="-1774"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2"/>
              <w:gridCol w:w="1351"/>
              <w:gridCol w:w="1185"/>
              <w:gridCol w:w="960"/>
              <w:gridCol w:w="2970"/>
              <w:gridCol w:w="10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52"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序号</w:t>
                  </w:r>
                </w:p>
              </w:tc>
              <w:tc>
                <w:tcPr>
                  <w:tcW w:w="1351"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固体废物名称</w:t>
                  </w:r>
                </w:p>
              </w:tc>
              <w:tc>
                <w:tcPr>
                  <w:tcW w:w="1185"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来源</w:t>
                  </w:r>
                </w:p>
              </w:tc>
              <w:tc>
                <w:tcPr>
                  <w:tcW w:w="96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性质</w:t>
                  </w:r>
                </w:p>
              </w:tc>
              <w:tc>
                <w:tcPr>
                  <w:tcW w:w="297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处理处置方式</w:t>
                  </w:r>
                </w:p>
              </w:tc>
              <w:tc>
                <w:tcPr>
                  <w:tcW w:w="1020" w:type="dxa"/>
                  <w:tcBorders>
                    <w:tl2br w:val="nil"/>
                    <w:tr2bl w:val="nil"/>
                  </w:tcBorders>
                  <w:vAlign w:val="center"/>
                </w:tcPr>
                <w:p>
                  <w:pPr>
                    <w:pStyle w:val="20"/>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b w:val="0"/>
                      <w:bCs/>
                      <w:sz w:val="18"/>
                      <w:szCs w:val="18"/>
                      <w:lang w:eastAsia="zh-CN"/>
                    </w:rPr>
                  </w:pPr>
                  <w:r>
                    <w:rPr>
                      <w:rFonts w:hint="eastAsia" w:ascii="宋体" w:hAnsi="宋体" w:eastAsia="宋体" w:cs="宋体"/>
                      <w:b w:val="0"/>
                      <w:bCs/>
                      <w:sz w:val="18"/>
                      <w:szCs w:val="18"/>
                      <w:lang w:eastAsia="zh-CN"/>
                    </w:rPr>
                    <w:t>暂存场所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jc w:val="center"/>
              </w:trPr>
              <w:tc>
                <w:tcPr>
                  <w:tcW w:w="7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除尘灰</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除尘器</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一般固废</w:t>
                  </w:r>
                </w:p>
              </w:tc>
              <w:tc>
                <w:tcPr>
                  <w:tcW w:w="29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由螺旋输送机送至产品输送皮带</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7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炉渣</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热风炉</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一般固废</w:t>
                  </w:r>
                </w:p>
              </w:tc>
              <w:tc>
                <w:tcPr>
                  <w:tcW w:w="29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rPr>
                  </w:pPr>
                  <w:r>
                    <w:rPr>
                      <w:rFonts w:hint="eastAsia" w:ascii="宋体" w:hAnsi="宋体" w:eastAsia="宋体" w:cs="宋体"/>
                      <w:sz w:val="18"/>
                      <w:szCs w:val="18"/>
                    </w:rPr>
                    <w:t>运至大阳煤矿煤矸石砖厂原料堆作制砖原料</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干燥车间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7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沉淀池底泥</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沉淀池</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rPr>
                  </w:pPr>
                  <w:r>
                    <w:rPr>
                      <w:rFonts w:hint="eastAsia" w:ascii="宋体" w:hAnsi="宋体" w:eastAsia="宋体" w:cs="宋体"/>
                      <w:sz w:val="18"/>
                      <w:szCs w:val="18"/>
                      <w:lang w:eastAsia="zh-CN"/>
                    </w:rPr>
                    <w:t>一般固废</w:t>
                  </w:r>
                </w:p>
              </w:tc>
              <w:tc>
                <w:tcPr>
                  <w:tcW w:w="29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rPr>
                  </w:pPr>
                  <w:r>
                    <w:rPr>
                      <w:rFonts w:hint="eastAsia" w:ascii="宋体" w:hAnsi="宋体" w:eastAsia="宋体" w:cs="宋体"/>
                      <w:sz w:val="18"/>
                      <w:szCs w:val="18"/>
                      <w:lang w:val="en-US" w:eastAsia="zh-CN"/>
                    </w:rPr>
                    <w:t>送至压滤车间进行压滤</w:t>
                  </w:r>
                </w:p>
              </w:tc>
              <w:tc>
                <w:tcPr>
                  <w:tcW w:w="10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75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w:t>
                  </w:r>
                </w:p>
              </w:tc>
              <w:tc>
                <w:tcPr>
                  <w:tcW w:w="135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脱硫渣</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脱硫塔</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rPr>
                  </w:pPr>
                  <w:r>
                    <w:rPr>
                      <w:rFonts w:hint="eastAsia" w:ascii="宋体" w:hAnsi="宋体" w:eastAsia="宋体" w:cs="宋体"/>
                      <w:sz w:val="18"/>
                      <w:szCs w:val="18"/>
                      <w:lang w:eastAsia="zh-CN"/>
                    </w:rPr>
                    <w:t>一般固废</w:t>
                  </w:r>
                </w:p>
              </w:tc>
              <w:tc>
                <w:tcPr>
                  <w:tcW w:w="297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rPr>
                    <w:t>运至大阳煤矿煤矸石砖厂原料堆作制砖原料</w:t>
                  </w:r>
                </w:p>
              </w:tc>
              <w:tc>
                <w:tcPr>
                  <w:tcW w:w="102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17" w:hRule="atLeast"/>
                <w:jc w:val="center"/>
              </w:trPr>
              <w:tc>
                <w:tcPr>
                  <w:tcW w:w="75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13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生活垃圾</w:t>
                  </w:r>
                </w:p>
              </w:tc>
              <w:tc>
                <w:tcPr>
                  <w:tcW w:w="11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职工生活</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rPr>
                  </w:pPr>
                  <w:r>
                    <w:rPr>
                      <w:rFonts w:hint="eastAsia" w:ascii="宋体" w:hAnsi="宋体" w:eastAsia="宋体" w:cs="宋体"/>
                      <w:sz w:val="18"/>
                      <w:szCs w:val="18"/>
                      <w:lang w:eastAsia="zh-CN"/>
                    </w:rPr>
                    <w:t>一般固废</w:t>
                  </w:r>
                </w:p>
              </w:tc>
              <w:tc>
                <w:tcPr>
                  <w:tcW w:w="29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由环卫部门定期清理</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outlineLvl w:val="9"/>
                    <w:rPr>
                      <w:rFonts w:hint="eastAsia" w:ascii="宋体" w:hAnsi="宋体" w:eastAsia="宋体" w:cs="宋体"/>
                      <w:sz w:val="18"/>
                      <w:szCs w:val="18"/>
                      <w:lang w:eastAsia="zh-CN"/>
                    </w:rPr>
                  </w:pPr>
                  <w:r>
                    <w:rPr>
                      <w:rFonts w:hint="eastAsia" w:ascii="宋体" w:hAnsi="宋体" w:eastAsia="宋体" w:cs="宋体"/>
                      <w:sz w:val="18"/>
                      <w:szCs w:val="18"/>
                      <w:lang w:eastAsia="zh-CN"/>
                    </w:rPr>
                    <w:t>垃圾桶</w:t>
                  </w:r>
                </w:p>
              </w:tc>
            </w:tr>
          </w:tbl>
          <w:p>
            <w:pPr>
              <w:pStyle w:val="2"/>
              <w:pageBreakBefore w:val="0"/>
              <w:kinsoku/>
              <w:wordWrap/>
              <w:overflowPunct/>
              <w:topLinePunct w:val="0"/>
              <w:autoSpaceDE/>
              <w:autoSpaceDN/>
              <w:bidi w:val="0"/>
              <w:spacing w:after="0" w:line="360" w:lineRule="auto"/>
              <w:ind w:left="0" w:leftChars="0" w:firstLine="0" w:firstLineChars="0"/>
              <w:rPr>
                <w:rFonts w:hint="eastAsia"/>
                <w:lang w:val="en-US" w:eastAsia="zh-CN"/>
              </w:rPr>
            </w:pPr>
          </w:p>
          <w:tbl>
            <w:tblPr>
              <w:tblStyle w:val="11"/>
              <w:tblW w:w="42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6" w:type="dxa"/>
                  <w:vAlign w:val="center"/>
                </w:tcPr>
                <w:p>
                  <w:pPr>
                    <w:pageBreakBefore w:val="0"/>
                    <w:kinsoku/>
                    <w:wordWrap/>
                    <w:overflowPunct/>
                    <w:topLinePunct w:val="0"/>
                    <w:autoSpaceDE/>
                    <w:autoSpaceDN/>
                    <w:bidi w:val="0"/>
                    <w:spacing w:after="0" w:line="360" w:lineRule="auto"/>
                    <w:jc w:val="center"/>
                    <w:rPr>
                      <w:rFonts w:hint="eastAsia"/>
                      <w:kern w:val="0"/>
                      <w:lang w:val="en-US" w:eastAsia="zh-CN"/>
                    </w:rPr>
                  </w:pPr>
                  <w:r>
                    <w:rPr>
                      <w:rFonts w:hint="eastAsia"/>
                      <w:kern w:val="0"/>
                      <w:lang w:val="en-US" w:eastAsia="zh-CN"/>
                    </w:rPr>
                    <w:drawing>
                      <wp:inline distT="0" distB="0" distL="114300" distR="114300">
                        <wp:extent cx="1776730" cy="2369185"/>
                        <wp:effectExtent l="0" t="0" r="13970" b="12065"/>
                        <wp:docPr id="24" name="图片 24" descr="IMG_20180608_1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80608_101328"/>
                                <pic:cNvPicPr>
                                  <a:picLocks noChangeAspect="1"/>
                                </pic:cNvPicPr>
                              </pic:nvPicPr>
                              <pic:blipFill>
                                <a:blip r:embed="rId28"/>
                                <a:stretch>
                                  <a:fillRect/>
                                </a:stretch>
                              </pic:blipFill>
                              <pic:spPr>
                                <a:xfrm>
                                  <a:off x="0" y="0"/>
                                  <a:ext cx="1776730" cy="23691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6" w:type="dxa"/>
                  <w:vAlign w:val="center"/>
                </w:tcPr>
                <w:p>
                  <w:pPr>
                    <w:pageBreakBefore w:val="0"/>
                    <w:kinsoku/>
                    <w:wordWrap/>
                    <w:overflowPunct/>
                    <w:topLinePunct w:val="0"/>
                    <w:autoSpaceDE/>
                    <w:autoSpaceDN/>
                    <w:bidi w:val="0"/>
                    <w:spacing w:after="0" w:line="36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垃圾桶</w:t>
                  </w:r>
                </w:p>
              </w:tc>
            </w:tr>
          </w:tbl>
          <w:p>
            <w:pPr>
              <w:spacing w:line="360" w:lineRule="exact"/>
              <w:rPr>
                <w:rFonts w:hint="eastAsia"/>
              </w:rPr>
            </w:pPr>
          </w:p>
          <w:p>
            <w:pPr>
              <w:pStyle w:val="2"/>
              <w:ind w:left="0" w:leftChars="0" w:firstLine="0" w:firstLineChars="0"/>
              <w:rPr>
                <w:rFonts w:eastAsia="仿宋_GB2312"/>
                <w:color w:val="000000"/>
                <w:sz w:val="21"/>
                <w:szCs w:val="21"/>
              </w:rPr>
            </w:pPr>
          </w:p>
          <w:p>
            <w:pPr>
              <w:pStyle w:val="2"/>
              <w:ind w:left="0" w:leftChars="0" w:firstLine="0" w:firstLineChars="0"/>
              <w:rPr>
                <w:rFonts w:eastAsia="仿宋_GB2312"/>
                <w:color w:val="000000"/>
                <w:sz w:val="21"/>
                <w:szCs w:val="21"/>
              </w:rPr>
            </w:pPr>
          </w:p>
        </w:tc>
      </w:tr>
    </w:tbl>
    <w:p>
      <w:pPr>
        <w:spacing w:after="0" w:afterLines="0" w:line="360" w:lineRule="auto"/>
        <w:rPr>
          <w:rFonts w:eastAsia="仿宋_GB2312"/>
          <w:b/>
          <w:color w:val="000000"/>
          <w:sz w:val="21"/>
          <w:szCs w:val="21"/>
        </w:rPr>
      </w:pPr>
    </w:p>
    <w:p>
      <w:pPr>
        <w:spacing w:after="0" w:afterLines="0" w:line="360" w:lineRule="auto"/>
        <w:rPr>
          <w:rFonts w:eastAsia="仿宋_GB2312"/>
          <w:b/>
          <w:color w:val="000000"/>
          <w:sz w:val="21"/>
          <w:szCs w:val="21"/>
        </w:rPr>
      </w:pPr>
    </w:p>
    <w:p>
      <w:pPr>
        <w:spacing w:after="0" w:afterLines="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四</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6"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b/>
                <w:bCs/>
                <w:color w:val="000000"/>
                <w:sz w:val="21"/>
                <w:szCs w:val="21"/>
              </w:rPr>
            </w:pPr>
            <w:r>
              <w:rPr>
                <w:rFonts w:hint="eastAsia" w:ascii="宋体" w:hAnsi="宋体" w:eastAsia="宋体"/>
                <w:b/>
                <w:bCs/>
                <w:color w:val="000000"/>
                <w:sz w:val="21"/>
                <w:szCs w:val="21"/>
              </w:rPr>
              <w:t>建设项目环境影响报告表主要结论及审批部门审批决定：</w:t>
            </w:r>
          </w:p>
          <w:p>
            <w:pPr>
              <w:pStyle w:val="4"/>
              <w:pageBreakBefore w:val="0"/>
              <w:kinsoku/>
              <w:wordWrap/>
              <w:overflowPunct/>
              <w:topLinePunct w:val="0"/>
              <w:autoSpaceDE/>
              <w:autoSpaceDN/>
              <w:bidi w:val="0"/>
              <w:spacing w:after="0" w:afterLines="0" w:line="360" w:lineRule="auto"/>
              <w:textAlignment w:val="auto"/>
              <w:rPr>
                <w:rFonts w:hint="default" w:ascii="Times New Roman" w:hAnsi="Times New Roman" w:eastAsia="宋体" w:cs="Times New Roman"/>
                <w:sz w:val="21"/>
                <w:szCs w:val="21"/>
                <w:lang w:val="en-US" w:eastAsia="zh-CN" w:bidi="ar-SA"/>
              </w:rPr>
            </w:pPr>
            <w:bookmarkStart w:id="16" w:name="_Toc30272"/>
            <w:r>
              <w:rPr>
                <w:rFonts w:hint="eastAsia" w:cs="Times New Roman"/>
                <w:b w:val="0"/>
                <w:bCs w:val="0"/>
                <w:sz w:val="21"/>
                <w:szCs w:val="21"/>
                <w:lang w:val="en-US" w:eastAsia="zh-CN"/>
              </w:rPr>
              <w:t>1、</w:t>
            </w:r>
            <w:r>
              <w:rPr>
                <w:rFonts w:hint="eastAsia" w:ascii="Times New Roman" w:hAnsi="Times New Roman" w:cs="Times New Roman"/>
                <w:b w:val="0"/>
                <w:bCs w:val="0"/>
                <w:sz w:val="21"/>
                <w:szCs w:val="21"/>
                <w:lang w:eastAsia="zh-CN"/>
              </w:rPr>
              <w:t>环境影响报告表</w:t>
            </w:r>
            <w:r>
              <w:rPr>
                <w:rFonts w:hint="default" w:ascii="Times New Roman" w:hAnsi="Times New Roman" w:eastAsia="宋体" w:cs="Times New Roman"/>
                <w:b w:val="0"/>
                <w:bCs w:val="0"/>
                <w:sz w:val="21"/>
                <w:szCs w:val="21"/>
              </w:rPr>
              <w:t>主要结论</w:t>
            </w:r>
            <w:r>
              <w:rPr>
                <w:rFonts w:hint="eastAsia" w:ascii="Times New Roman" w:hAnsi="Times New Roman" w:cs="Times New Roman"/>
                <w:b w:val="0"/>
                <w:bCs w:val="0"/>
                <w:sz w:val="21"/>
                <w:szCs w:val="21"/>
                <w:lang w:eastAsia="zh-CN"/>
              </w:rPr>
              <w:t>及建议</w:t>
            </w:r>
            <w:bookmarkEnd w:id="16"/>
            <w:bookmarkStart w:id="17" w:name="_Toc504390990"/>
            <w:bookmarkStart w:id="18" w:name="_Toc497001468"/>
            <w:bookmarkStart w:id="19" w:name="_Toc496979031"/>
            <w:r>
              <w:rPr>
                <w:rFonts w:hint="eastAsia" w:cs="Times New Roman"/>
                <w:b w:val="0"/>
                <w:bCs w:val="0"/>
                <w:sz w:val="21"/>
                <w:szCs w:val="21"/>
                <w:lang w:eastAsia="zh-CN"/>
              </w:rPr>
              <w:t>（摘录）</w:t>
            </w:r>
          </w:p>
          <w:bookmarkEnd w:id="17"/>
          <w:bookmarkEnd w:id="18"/>
          <w:bookmarkEnd w:id="19"/>
          <w:p>
            <w:pPr>
              <w:pageBreakBefore w:val="0"/>
              <w:widowControl/>
              <w:kinsoku/>
              <w:wordWrap/>
              <w:overflowPunct/>
              <w:topLinePunct w:val="0"/>
              <w:autoSpaceDE/>
              <w:autoSpaceDN/>
              <w:bidi w:val="0"/>
              <w:spacing w:beforeLines="50" w:after="0" w:afterLines="0" w:line="360" w:lineRule="auto"/>
              <w:ind w:firstLine="124" w:firstLineChars="59"/>
              <w:jc w:val="center"/>
              <w:textAlignment w:val="auto"/>
              <w:rPr>
                <w:rFonts w:hint="eastAsia" w:ascii="Times New Roman" w:hAnsi="Times New Roman" w:eastAsia="宋体" w:cs="Times New Roman"/>
                <w:b/>
                <w:bCs/>
                <w:sz w:val="21"/>
                <w:szCs w:val="21"/>
                <w:lang w:val="en-US" w:eastAsia="zh-CN"/>
              </w:rPr>
            </w:pPr>
            <w:bookmarkStart w:id="20" w:name="_Toc20823"/>
            <w:r>
              <w:rPr>
                <w:rFonts w:hint="default" w:ascii="Times New Roman" w:hAnsi="Times New Roman" w:eastAsia="宋体" w:cs="Times New Roman"/>
                <w:b/>
                <w:bCs/>
                <w:sz w:val="21"/>
                <w:szCs w:val="21"/>
              </w:rPr>
              <w:t>表4-1</w:t>
            </w:r>
            <w:r>
              <w:rPr>
                <w:rFonts w:hint="eastAsia"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lang w:eastAsia="zh-CN"/>
              </w:rPr>
              <w:t>环境影响报告表主要结论及建议（摘录）</w:t>
            </w:r>
            <w:r>
              <w:rPr>
                <w:rFonts w:hint="eastAsia" w:ascii="Times New Roman" w:hAnsi="Times New Roman" w:eastAsia="宋体" w:cs="Times New Roman"/>
                <w:b/>
                <w:bCs/>
                <w:sz w:val="21"/>
                <w:szCs w:val="21"/>
                <w:lang w:val="en-US" w:eastAsia="zh-CN"/>
              </w:rPr>
              <w:t xml:space="preserve"> </w:t>
            </w:r>
          </w:p>
          <w:tbl>
            <w:tblPr>
              <w:tblStyle w:val="10"/>
              <w:tblW w:w="876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42"/>
              <w:gridCol w:w="42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6" w:hRule="atLeast"/>
                <w:tblHeader/>
              </w:trPr>
              <w:tc>
                <w:tcPr>
                  <w:tcW w:w="4542" w:type="dxa"/>
                  <w:tcMar>
                    <w:top w:w="28" w:type="dxa"/>
                    <w:bottom w:w="28" w:type="dxa"/>
                  </w:tcMar>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环境影响报告表主要结论及建议</w:t>
                  </w:r>
                </w:p>
              </w:tc>
              <w:tc>
                <w:tcPr>
                  <w:tcW w:w="422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0" w:hRule="atLeast"/>
              </w:trPr>
              <w:tc>
                <w:tcPr>
                  <w:tcW w:w="4542" w:type="dxa"/>
                  <w:tcMar>
                    <w:top w:w="28" w:type="dxa"/>
                    <w:bottom w:w="28" w:type="dxa"/>
                  </w:tcMar>
                  <w:vAlign w:val="center"/>
                </w:tcPr>
                <w:p>
                  <w:pPr>
                    <w:pageBreakBefore w:val="0"/>
                    <w:numPr>
                      <w:ilvl w:val="0"/>
                      <w:numId w:val="4"/>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项目建设概况</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lang w:eastAsia="zh-CN"/>
                    </w:rPr>
                  </w:pPr>
                  <w:r>
                    <w:rPr>
                      <w:rFonts w:hint="eastAsia" w:ascii="宋体" w:hAnsi="宋体" w:eastAsia="宋体" w:cs="宋体"/>
                      <w:sz w:val="18"/>
                      <w:szCs w:val="18"/>
                    </w:rPr>
                    <w:t>山西兰花科技创业股份有限公司大阳煤矿分公司煤泥烘干系统建设项目是利用山西兰花科技创业股份有限公司大阳煤矿分公司洗煤厂的煤泥处理成粒度≤0.5mm、水分≤15%的产品。符合国家产业政策，不属于国家发展和改革委令第9号《产业结构调整指导目录（2011年本）》（2013年修订）中淘汰类和限制类项目。</w:t>
                  </w:r>
                </w:p>
              </w:tc>
              <w:tc>
                <w:tcPr>
                  <w:tcW w:w="422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项目实际建设工程内容与环评一致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28" w:hRule="atLeast"/>
              </w:trPr>
              <w:tc>
                <w:tcPr>
                  <w:tcW w:w="4542" w:type="dxa"/>
                  <w:tcMar>
                    <w:top w:w="28" w:type="dxa"/>
                    <w:bottom w:w="28" w:type="dxa"/>
                  </w:tcMar>
                  <w:vAlign w:val="center"/>
                </w:tcPr>
                <w:p>
                  <w:pPr>
                    <w:pageBreakBefore w:val="0"/>
                    <w:numPr>
                      <w:ilvl w:val="0"/>
                      <w:numId w:val="0"/>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二、环境保护措施</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大气：热风炉燃烧产生的烟气产生的颗粒物治理措施：热风炉烟气经气箱脉冲袋式除尘器+脱硫塔脱硫处理处理，除尘效率≥99%，脱硫效率≥85%，处理后的烟气经20m高烟囱达标排放。</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皮带输送环节采取以下措施：本项目输送皮带在全封闭车间内，定期对车间进行清扫、洒水抑尘。</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成品下料仓及运输等过程采取以下措施：下料口为封闭式，且安装有转接口，物料跌落出尽量降低落差；定期对车间进行清扫、洒水抑尘。</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废水：本项目排水依托大阳煤矿；脱硫塔循环水闭路循环，不外排。</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rPr>
                    <w:t>固废：气箱脉冲袋式除尘器收集的烟粉尘、热风炉产生的炉渣、脱硫塔脱硫渣全部运至大阳煤矿煤矸石砖厂原料堆作制砖原料，沉淀池底泥送至压滤车间进行压滤，达到综合利用的目的，不外排；生活垃圾分类收集后由大阳煤矿环卫部门定期清理。</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rPr>
                  </w:pPr>
                  <w:r>
                    <w:rPr>
                      <w:rFonts w:hint="eastAsia" w:ascii="宋体" w:hAnsi="宋体" w:eastAsia="宋体" w:cs="宋体"/>
                      <w:sz w:val="18"/>
                      <w:szCs w:val="18"/>
                    </w:rPr>
                    <w:t>噪声：选用低噪声设备，从源头上控制噪声的产生；在设备上安装消声器、吸声材料和隔振、减振垫，车间外种植树木，形成绿色屏障；要加强监管，控制工作时间，严禁高噪声设备夜间作业。</w:t>
                  </w:r>
                </w:p>
              </w:tc>
              <w:tc>
                <w:tcPr>
                  <w:tcW w:w="422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eastAsia="zh-CN"/>
                    </w:rPr>
                    <w:t>项目实际环保措施与环评有</w:t>
                  </w:r>
                  <w:r>
                    <w:rPr>
                      <w:rFonts w:hint="eastAsia" w:ascii="宋体" w:hAnsi="宋体" w:eastAsia="宋体" w:cs="宋体"/>
                      <w:sz w:val="18"/>
                      <w:szCs w:val="18"/>
                      <w:lang w:val="en-US" w:eastAsia="zh-CN"/>
                    </w:rPr>
                    <w:t>1处不同，其他一致。这1处为：环评中热风炉烟气处理采取气箱脉冲袋式除尘器+脱硫塔处理，实际建设中增加一套旋风除尘器，处理工艺改为“旋风除尘+气箱脉冲袋式除尘+脱硫塔”，更改后，除尘效率更高。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56" w:hRule="atLeast"/>
              </w:trPr>
              <w:tc>
                <w:tcPr>
                  <w:tcW w:w="4542" w:type="dxa"/>
                  <w:tcMar>
                    <w:top w:w="28" w:type="dxa"/>
                    <w:bottom w:w="28" w:type="dxa"/>
                  </w:tcMar>
                  <w:vAlign w:val="center"/>
                </w:tcPr>
                <w:p>
                  <w:pPr>
                    <w:pageBreakBefore w:val="0"/>
                    <w:numPr>
                      <w:ilvl w:val="0"/>
                      <w:numId w:val="0"/>
                    </w:numPr>
                    <w:kinsoku/>
                    <w:wordWrap/>
                    <w:overflowPunct/>
                    <w:topLinePunct w:val="0"/>
                    <w:autoSpaceDE/>
                    <w:autoSpaceDN/>
                    <w:bidi w:val="0"/>
                    <w:spacing w:after="0" w:afterLines="0" w:line="360" w:lineRule="auto"/>
                    <w:ind w:left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三、环境管理与监测计划</w:t>
                  </w:r>
                </w:p>
                <w:p>
                  <w:pPr>
                    <w:pageBreakBefore w:val="0"/>
                    <w:numPr>
                      <w:ilvl w:val="0"/>
                      <w:numId w:val="0"/>
                    </w:numPr>
                    <w:kinsoku/>
                    <w:wordWrap/>
                    <w:overflowPunct/>
                    <w:topLinePunct w:val="0"/>
                    <w:autoSpaceDE/>
                    <w:autoSpaceDN/>
                    <w:bidi w:val="0"/>
                    <w:spacing w:after="0" w:afterLines="0" w:line="360" w:lineRule="auto"/>
                    <w:ind w:leftChars="0" w:firstLine="360" w:firstLineChars="200"/>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eastAsia="zh-CN"/>
                    </w:rPr>
                    <w:t>项目在实施和运营过程中，应建立专门的环境管理机构，制定相应的规章制度，严格落实排污许可证管理要求，建立环保台账；日常生活中，应确保各项环境保护设施和措施的正常运行，安排专人对车间、堆场等易积尘地面进行清理，保持厂区清洁，定期请当地环保部门监督、检查，协助主管部门做好环境管理工作。</w:t>
                  </w:r>
                </w:p>
              </w:tc>
              <w:tc>
                <w:tcPr>
                  <w:tcW w:w="422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建设单位设立有环保科，负责全公司的环境管理工作，并设专人负责本项目的日常环保管理工作，制定有《环境保护责任制》、《环保管理考核制度》、《突发环境事件应急管理制度》、《环境保护信息公开制度》、《新、改、扩建项目环评和三同时制度》、《环保例会制度》、《环境保护设施管理制度》等环保方面的规章制度及各环保设施的操作规程。本项目环保台账有：脱硫除尘器水泵运行记录、布袋除尘器运行记录、雨水收集池检查记录、热风炉炉渣逐日排放记录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08" w:hRule="atLeast"/>
              </w:trPr>
              <w:tc>
                <w:tcPr>
                  <w:tcW w:w="4542" w:type="dxa"/>
                  <w:tcMar>
                    <w:top w:w="28" w:type="dxa"/>
                    <w:bottom w:w="28" w:type="dxa"/>
                  </w:tcMar>
                  <w:vAlign w:val="center"/>
                </w:tcPr>
                <w:p>
                  <w:pPr>
                    <w:pageBreakBefore w:val="0"/>
                    <w:numPr>
                      <w:ilvl w:val="0"/>
                      <w:numId w:val="5"/>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综合结论</w:t>
                  </w:r>
                </w:p>
                <w:p>
                  <w:pPr>
                    <w:pageBreakBefore w:val="0"/>
                    <w:numPr>
                      <w:ilvl w:val="0"/>
                      <w:numId w:val="0"/>
                    </w:numPr>
                    <w:kinsoku/>
                    <w:wordWrap/>
                    <w:overflowPunct/>
                    <w:topLinePunct w:val="0"/>
                    <w:autoSpaceDE/>
                    <w:autoSpaceDN/>
                    <w:bidi w:val="0"/>
                    <w:spacing w:after="0" w:afterLines="0" w:line="360" w:lineRule="auto"/>
                    <w:ind w:firstLine="360" w:firstLineChars="20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综上所述，山西兰花科技创业股份有限公司大阳煤矿分公司煤泥烘干系统建设项目不存在重大环境制约因素，通过采取环评要求的环保措施后，对区域环境影响可接受，环保措施经济技术满足长期稳定达标及生态保护要求，对区域环境影响小，从环保角度分析，本项目可行。</w:t>
                  </w:r>
                </w:p>
              </w:tc>
              <w:tc>
                <w:tcPr>
                  <w:tcW w:w="422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与环评一致</w:t>
                  </w:r>
                </w:p>
              </w:tc>
            </w:tr>
          </w:tbl>
          <w:p>
            <w:pPr>
              <w:pStyle w:val="4"/>
              <w:pageBreakBefore w:val="0"/>
              <w:kinsoku/>
              <w:wordWrap/>
              <w:overflowPunct/>
              <w:topLinePunct w:val="0"/>
              <w:autoSpaceDE/>
              <w:autoSpaceDN/>
              <w:bidi w:val="0"/>
              <w:spacing w:after="0" w:afterLines="0" w:line="360" w:lineRule="auto"/>
              <w:textAlignment w:val="auto"/>
              <w:rPr>
                <w:rFonts w:hint="eastAsia" w:cs="Times New Roman"/>
                <w:b w:val="0"/>
                <w:bCs w:val="0"/>
                <w:sz w:val="21"/>
                <w:szCs w:val="21"/>
                <w:lang w:val="en-US" w:eastAsia="zh-CN"/>
              </w:rPr>
            </w:pPr>
          </w:p>
          <w:p>
            <w:pPr>
              <w:pStyle w:val="4"/>
              <w:pageBreakBefore w:val="0"/>
              <w:kinsoku/>
              <w:wordWrap/>
              <w:overflowPunct/>
              <w:topLinePunct w:val="0"/>
              <w:autoSpaceDE/>
              <w:autoSpaceDN/>
              <w:bidi w:val="0"/>
              <w:spacing w:after="0" w:afterLines="0" w:line="360" w:lineRule="auto"/>
              <w:textAlignment w:val="auto"/>
              <w:rPr>
                <w:rFonts w:hint="eastAsia" w:ascii="Times New Roman" w:hAnsi="Times New Roman" w:eastAsia="宋体" w:cs="Times New Roman"/>
                <w:b w:val="0"/>
                <w:bCs w:val="0"/>
                <w:sz w:val="21"/>
                <w:szCs w:val="21"/>
                <w:lang w:eastAsia="zh-CN"/>
              </w:rPr>
            </w:pPr>
            <w:r>
              <w:rPr>
                <w:rFonts w:hint="eastAsia" w:cs="Times New Roman"/>
                <w:b w:val="0"/>
                <w:bCs w:val="0"/>
                <w:sz w:val="21"/>
                <w:szCs w:val="21"/>
                <w:lang w:val="en-US" w:eastAsia="zh-CN"/>
              </w:rPr>
              <w:t>2、</w:t>
            </w:r>
            <w:r>
              <w:rPr>
                <w:rFonts w:hint="default" w:ascii="Times New Roman" w:hAnsi="Times New Roman" w:eastAsia="宋体" w:cs="Times New Roman"/>
                <w:b w:val="0"/>
                <w:bCs w:val="0"/>
                <w:sz w:val="21"/>
                <w:szCs w:val="21"/>
              </w:rPr>
              <w:t>审批部门审批</w:t>
            </w:r>
            <w:r>
              <w:rPr>
                <w:rFonts w:hint="eastAsia" w:ascii="Times New Roman" w:hAnsi="Times New Roman" w:cs="Times New Roman"/>
                <w:b w:val="0"/>
                <w:bCs w:val="0"/>
                <w:sz w:val="21"/>
                <w:szCs w:val="21"/>
                <w:lang w:eastAsia="zh-CN"/>
              </w:rPr>
              <w:t>决定</w:t>
            </w:r>
            <w:bookmarkEnd w:id="20"/>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本项目于2017年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15</w:t>
            </w:r>
            <w:r>
              <w:rPr>
                <w:rFonts w:hint="default" w:ascii="Times New Roman" w:hAnsi="Times New Roman" w:eastAsia="宋体" w:cs="Times New Roman"/>
                <w:sz w:val="21"/>
                <w:szCs w:val="21"/>
              </w:rPr>
              <w:t>日由</w:t>
            </w:r>
            <w:r>
              <w:rPr>
                <w:rFonts w:hint="eastAsia" w:ascii="Times New Roman" w:hAnsi="Times New Roman" w:eastAsia="宋体" w:cs="Times New Roman"/>
                <w:sz w:val="21"/>
                <w:szCs w:val="21"/>
                <w:lang w:eastAsia="zh-CN"/>
              </w:rPr>
              <w:t>晋城市</w:t>
            </w:r>
            <w:r>
              <w:rPr>
                <w:rFonts w:hint="default" w:ascii="Times New Roman" w:hAnsi="Times New Roman" w:eastAsia="宋体" w:cs="Times New Roman"/>
                <w:sz w:val="21"/>
                <w:szCs w:val="21"/>
              </w:rPr>
              <w:t>环境保护局审批通过，并出具审批意见。</w:t>
            </w:r>
            <w:r>
              <w:rPr>
                <w:rFonts w:hint="eastAsia" w:ascii="Times New Roman" w:hAnsi="Times New Roman" w:eastAsia="宋体" w:cs="Times New Roman"/>
                <w:sz w:val="21"/>
                <w:szCs w:val="21"/>
                <w:lang w:eastAsia="zh-CN"/>
              </w:rPr>
              <w:t>原文抄录</w:t>
            </w:r>
            <w:r>
              <w:rPr>
                <w:rFonts w:hint="default" w:ascii="Times New Roman" w:hAnsi="Times New Roman" w:eastAsia="宋体" w:cs="Times New Roman"/>
                <w:sz w:val="21"/>
                <w:szCs w:val="21"/>
              </w:rPr>
              <w:t>如下：</w:t>
            </w:r>
          </w:p>
          <w:p>
            <w:pPr>
              <w:pStyle w:val="2"/>
              <w:pageBreakBefore w:val="0"/>
              <w:kinsoku/>
              <w:wordWrap/>
              <w:overflowPunct/>
              <w:topLinePunct w:val="0"/>
              <w:autoSpaceDE/>
              <w:autoSpaceDN/>
              <w:bidi w:val="0"/>
              <w:spacing w:after="0" w:afterLines="0" w:line="360" w:lineRule="auto"/>
              <w:ind w:left="0" w:leftChars="0" w:firstLine="0" w:firstLineChars="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山西兰花科技创业股份有限公司大阳煤矿分公司：</w:t>
            </w:r>
          </w:p>
          <w:p>
            <w:pPr>
              <w:pageBreakBefore w:val="0"/>
              <w:kinsoku/>
              <w:wordWrap/>
              <w:overflowPunct/>
              <w:topLinePunct w:val="0"/>
              <w:autoSpaceDE/>
              <w:autoSpaceDN/>
              <w:bidi w:val="0"/>
              <w:spacing w:after="0" w:afterLines="0" w:line="360" w:lineRule="auto"/>
              <w:ind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你公司申报的《煤泥烘干系统建设项目环境影响报告表》（以下简称《报告表》）收悉，经我局审查研究，现对《报告表》批复如下：</w:t>
            </w:r>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原则同意专家技术审查意见。该《报告表》编制格式规范，依据齐全，工程分析清楚，重点突出，现状评价结论符合当地环境实际状况，预测评价较详实，评价结论可信，《报告表》可以作为工程建设和环境管理的依据。</w:t>
            </w:r>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二、本项目厂址位于大阳镇大阳煤矿分公司洗煤厂厂区内，主要建设内容包括：新建一座1131m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烘干车间，为三层钢筋混凝土结构，一层主要布置热风炉、滚筒干燥机、干煤泥运输、除尘水泵和车间供配电控制系统等设备；二层布置压滤煤泥运输设备和除尘设备等；三层布置压滤设备等，设计年处理湿煤泥5.78万吨/年，烘干后煤泥2.89万吨/年，在严格采取环评报告规定的环保措施后，对周围环境影响较小，项目的建设符合环境可行性要求。</w:t>
            </w:r>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三、你公司在项目的建设、运行过程中要严格按环评要求做好以下各项环保工作，确保各类污染物稳定达标排放。</w:t>
            </w:r>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1、热风炉要配备完善的污染防治设施，采取有效的环保措施，确保污染物排放达到《锅炉大气污染物排放标准》（GB13271-2014）的燃煤锅炉特别排放标准限值，即颗粒物30mg/m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，二氧化硫200mg/m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，氮氧化物30mg/m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，处理后的烟气经20m高烟囱达标排放。</w:t>
            </w:r>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2、生产生活废水综合利用不外排。</w:t>
            </w:r>
          </w:p>
          <w:p>
            <w:pPr>
              <w:pageBreakBefore w:val="0"/>
              <w:kinsoku/>
              <w:wordWrap/>
              <w:overflowPunct/>
              <w:topLinePunct w:val="0"/>
              <w:autoSpaceDE/>
              <w:autoSpaceDN/>
              <w:bidi w:val="0"/>
              <w:spacing w:after="0" w:afterLines="0" w:line="360" w:lineRule="auto"/>
              <w:ind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做好原料和产品储存、输送等环节的封闭、降尘工作，尽可能减少无组织排放。</w:t>
            </w:r>
          </w:p>
          <w:p>
            <w:pPr>
              <w:pageBreakBefore w:val="0"/>
              <w:kinsoku/>
              <w:wordWrap/>
              <w:overflowPunct/>
              <w:topLinePunct w:val="0"/>
              <w:autoSpaceDE/>
              <w:autoSpaceDN/>
              <w:bidi w:val="0"/>
              <w:spacing w:after="0" w:afterLines="0" w:line="360" w:lineRule="auto"/>
              <w:ind w:firstLine="420" w:firstLineChars="200"/>
              <w:textAlignment w:val="auto"/>
              <w:rPr>
                <w:rFonts w:hint="eastAsia" w:ascii="宋体" w:hAnsi="宋体" w:eastAsia="宋体" w:cs="宋体"/>
                <w:sz w:val="21"/>
                <w:szCs w:val="21"/>
              </w:rPr>
            </w:pPr>
            <w:r>
              <w:rPr>
                <w:rFonts w:hint="default" w:ascii="Times New Roman" w:hAnsi="Times New Roman" w:eastAsia="宋体" w:cs="Times New Roman"/>
                <w:sz w:val="21"/>
                <w:szCs w:val="21"/>
              </w:rPr>
              <w:t>四、</w:t>
            </w:r>
            <w:r>
              <w:rPr>
                <w:rFonts w:hint="eastAsia" w:ascii="宋体" w:hAnsi="宋体" w:eastAsia="宋体" w:cs="宋体"/>
                <w:sz w:val="21"/>
                <w:szCs w:val="21"/>
              </w:rPr>
              <w:t>工程建设必须严格执行环境保护设施与主体工程同时设计、同时施工、同时投产使用的环境保护“三同时”制度，泽州县环保局要做好该项目施工和运行期间的环境保护监督检查工作。</w:t>
            </w:r>
          </w:p>
          <w:p>
            <w:pPr>
              <w:pStyle w:val="2"/>
              <w:pageBreakBefore w:val="0"/>
              <w:kinsoku/>
              <w:wordWrap/>
              <w:overflowPunct/>
              <w:topLinePunct w:val="0"/>
              <w:autoSpaceDE/>
              <w:autoSpaceDN/>
              <w:bidi w:val="0"/>
              <w:spacing w:after="0" w:afterLines="0" w:line="360" w:lineRule="auto"/>
              <w:ind w:left="0" w:leftChars="0" w:firstLine="0" w:firstLineChars="0"/>
              <w:jc w:val="righ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晋城市环境保护局</w:t>
            </w:r>
          </w:p>
          <w:p>
            <w:pPr>
              <w:pStyle w:val="2"/>
              <w:pageBreakBefore w:val="0"/>
              <w:kinsoku/>
              <w:wordWrap/>
              <w:overflowPunct/>
              <w:topLinePunct w:val="0"/>
              <w:autoSpaceDE/>
              <w:autoSpaceDN/>
              <w:bidi w:val="0"/>
              <w:spacing w:after="0" w:afterLines="0" w:line="360" w:lineRule="auto"/>
              <w:ind w:left="0" w:leftChars="0" w:firstLine="0" w:firstLineChars="0"/>
              <w:jc w:val="right"/>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2017年11月15日</w:t>
            </w:r>
          </w:p>
          <w:p>
            <w:pPr>
              <w:pageBreakBefore w:val="0"/>
              <w:kinsoku/>
              <w:wordWrap/>
              <w:overflowPunct/>
              <w:topLinePunct w:val="0"/>
              <w:autoSpaceDE/>
              <w:autoSpaceDN/>
              <w:bidi w:val="0"/>
              <w:spacing w:after="0" w:afterLines="0" w:line="360" w:lineRule="auto"/>
              <w:textAlignment w:val="auto"/>
              <w:rPr>
                <w:rFonts w:hint="default" w:ascii="Times New Roman" w:hAnsi="Times New Roman" w:eastAsia="宋体" w:cs="Times New Roman"/>
                <w:b/>
                <w:bCs/>
                <w:sz w:val="21"/>
                <w:szCs w:val="21"/>
              </w:rPr>
            </w:pPr>
            <w:bookmarkStart w:id="21" w:name="_Toc497001471"/>
            <w:r>
              <w:rPr>
                <w:rFonts w:hint="default" w:ascii="Times New Roman" w:hAnsi="Times New Roman" w:eastAsia="宋体" w:cs="Times New Roman"/>
                <w:sz w:val="21"/>
                <w:szCs w:val="21"/>
              </w:rPr>
              <w:t>审批意见落实情况详见下表4-</w:t>
            </w:r>
            <w:r>
              <w:rPr>
                <w:rFonts w:hint="eastAsia" w:ascii="Times New Roman" w:hAnsi="Times New Roman" w:eastAsia="宋体" w:cs="Times New Roman"/>
                <w:sz w:val="21"/>
                <w:szCs w:val="21"/>
                <w:lang w:val="en-US" w:eastAsia="zh-CN"/>
              </w:rPr>
              <w:t>2</w:t>
            </w:r>
            <w:bookmarkEnd w:id="21"/>
            <w:r>
              <w:rPr>
                <w:rFonts w:hint="eastAsia" w:ascii="Times New Roman" w:hAnsi="Times New Roman" w:eastAsia="宋体" w:cs="Times New Roman"/>
                <w:sz w:val="21"/>
                <w:szCs w:val="21"/>
                <w:lang w:val="en-US" w:eastAsia="zh-CN"/>
              </w:rPr>
              <w:t>：</w:t>
            </w:r>
          </w:p>
          <w:p>
            <w:pPr>
              <w:pageBreakBefore w:val="0"/>
              <w:widowControl/>
              <w:kinsoku/>
              <w:wordWrap/>
              <w:overflowPunct/>
              <w:topLinePunct w:val="0"/>
              <w:autoSpaceDE/>
              <w:autoSpaceDN/>
              <w:bidi w:val="0"/>
              <w:spacing w:beforeLines="50" w:after="0" w:afterLines="0" w:line="360" w:lineRule="auto"/>
              <w:ind w:firstLine="124" w:firstLineChars="59"/>
              <w:jc w:val="center"/>
              <w:textAlignment w:val="auto"/>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 xml:space="preserve">2  </w:t>
            </w:r>
            <w:r>
              <w:rPr>
                <w:rFonts w:hint="default" w:ascii="Times New Roman" w:hAnsi="Times New Roman" w:eastAsia="宋体" w:cs="Times New Roman"/>
                <w:b/>
                <w:bCs/>
                <w:sz w:val="21"/>
                <w:szCs w:val="21"/>
              </w:rPr>
              <w:t>环评审批意见落实情况</w:t>
            </w:r>
            <w:r>
              <w:rPr>
                <w:rFonts w:hint="eastAsia" w:ascii="Times New Roman" w:hAnsi="Times New Roman" w:eastAsia="宋体" w:cs="Times New Roman"/>
                <w:b/>
                <w:bCs/>
                <w:sz w:val="21"/>
                <w:szCs w:val="21"/>
                <w:lang w:val="en-US" w:eastAsia="zh-CN"/>
              </w:rPr>
              <w:t xml:space="preserve"> </w:t>
            </w:r>
          </w:p>
          <w:tbl>
            <w:tblPr>
              <w:tblStyle w:val="10"/>
              <w:tblW w:w="876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892"/>
              <w:gridCol w:w="28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48" w:hRule="atLeast"/>
                <w:tblHeader/>
              </w:trPr>
              <w:tc>
                <w:tcPr>
                  <w:tcW w:w="5892" w:type="dxa"/>
                  <w:tcMar>
                    <w:top w:w="28" w:type="dxa"/>
                    <w:bottom w:w="28" w:type="dxa"/>
                  </w:tcMar>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环评批复要求</w:t>
                  </w:r>
                </w:p>
              </w:tc>
              <w:tc>
                <w:tcPr>
                  <w:tcW w:w="287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90" w:hRule="atLeast"/>
              </w:trPr>
              <w:tc>
                <w:tcPr>
                  <w:tcW w:w="5892" w:type="dxa"/>
                  <w:tcMar>
                    <w:top w:w="28" w:type="dxa"/>
                    <w:bottom w:w="28" w:type="dxa"/>
                  </w:tcMar>
                  <w:vAlign w:val="center"/>
                </w:tcPr>
                <w:p>
                  <w:pPr>
                    <w:pageBreakBefore w:val="0"/>
                    <w:kinsoku/>
                    <w:wordWrap/>
                    <w:overflowPunct/>
                    <w:topLinePunct w:val="0"/>
                    <w:autoSpaceDE/>
                    <w:autoSpaceDN/>
                    <w:bidi w:val="0"/>
                    <w:spacing w:after="0" w:afterLines="0" w:line="36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一、</w:t>
                  </w:r>
                  <w:r>
                    <w:rPr>
                      <w:rFonts w:hint="eastAsia" w:ascii="宋体" w:hAnsi="宋体" w:eastAsia="宋体" w:cs="宋体"/>
                      <w:sz w:val="18"/>
                      <w:szCs w:val="18"/>
                    </w:rPr>
                    <w:t>原则同意专家技术审查意见。</w:t>
                  </w:r>
                  <w:r>
                    <w:rPr>
                      <w:rFonts w:hint="eastAsia" w:ascii="宋体" w:hAnsi="宋体" w:eastAsia="宋体" w:cs="宋体"/>
                      <w:sz w:val="18"/>
                      <w:szCs w:val="18"/>
                      <w:lang w:eastAsia="zh-CN"/>
                    </w:rPr>
                    <w:t>该《报告表》编制格式规范，依据齐全，工程分析清楚，重点突出，现状评价结论符合当地环境实际状况，预测评价较详实，评价结论可信，《报告表》可以作为工程建设和环境管理的依据。</w:t>
                  </w:r>
                </w:p>
              </w:tc>
              <w:tc>
                <w:tcPr>
                  <w:tcW w:w="287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工程建设与环境管理严格依据环评要求执行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328" w:hRule="atLeast"/>
              </w:trPr>
              <w:tc>
                <w:tcPr>
                  <w:tcW w:w="5892" w:type="dxa"/>
                  <w:tcMar>
                    <w:top w:w="28" w:type="dxa"/>
                    <w:bottom w:w="28" w:type="dxa"/>
                  </w:tcMar>
                  <w:vAlign w:val="center"/>
                </w:tcPr>
                <w:p>
                  <w:pPr>
                    <w:pageBreakBefore w:val="0"/>
                    <w:numPr>
                      <w:ilvl w:val="0"/>
                      <w:numId w:val="0"/>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rPr>
                  </w:pPr>
                  <w:r>
                    <w:rPr>
                      <w:rFonts w:hint="eastAsia" w:ascii="宋体" w:hAnsi="宋体" w:eastAsia="宋体" w:cs="宋体"/>
                      <w:sz w:val="18"/>
                      <w:szCs w:val="18"/>
                      <w:lang w:eastAsia="zh-CN"/>
                    </w:rPr>
                    <w:t>二、本项目厂址位于大阳镇大阳煤矿分公司洗煤厂厂区内，主要建设内容包括：新建一座</w:t>
                  </w:r>
                  <w:r>
                    <w:rPr>
                      <w:rFonts w:hint="eastAsia" w:ascii="宋体" w:hAnsi="宋体" w:eastAsia="宋体" w:cs="宋体"/>
                      <w:sz w:val="18"/>
                      <w:szCs w:val="18"/>
                      <w:lang w:val="en-US" w:eastAsia="zh-CN"/>
                    </w:rPr>
                    <w:t>1131m</w:t>
                  </w:r>
                  <w:r>
                    <w:rPr>
                      <w:rFonts w:hint="eastAsia" w:ascii="宋体" w:hAnsi="宋体" w:eastAsia="宋体" w:cs="宋体"/>
                      <w:sz w:val="18"/>
                      <w:szCs w:val="18"/>
                      <w:vertAlign w:val="superscript"/>
                      <w:lang w:val="en-US" w:eastAsia="zh-CN"/>
                    </w:rPr>
                    <w:t>2</w:t>
                  </w:r>
                  <w:r>
                    <w:rPr>
                      <w:rFonts w:hint="eastAsia" w:ascii="宋体" w:hAnsi="宋体" w:eastAsia="宋体" w:cs="宋体"/>
                      <w:sz w:val="18"/>
                      <w:szCs w:val="18"/>
                      <w:lang w:val="en-US" w:eastAsia="zh-CN"/>
                    </w:rPr>
                    <w:t>烘干车间，为三层钢筋混凝土结构，一层主要布置热风炉、滚筒干燥机、干煤泥运输、除尘水泵和车间供配电控制系统等设备；二层布置压滤煤泥运输设备和除尘设备等；三层布置压滤设备等，设计年处理湿煤泥5.78万吨/年，烘干后煤泥2.89万吨/年，在严格采取环评报告规定的环保措施后，对周围环境影响较小，项目的建设符合环境可行性要求。</w:t>
                  </w:r>
                </w:p>
              </w:tc>
              <w:tc>
                <w:tcPr>
                  <w:tcW w:w="287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rPr>
                  </w:pPr>
                  <w:r>
                    <w:rPr>
                      <w:rFonts w:hint="eastAsia" w:ascii="宋体" w:hAnsi="宋体" w:eastAsia="宋体" w:cs="宋体"/>
                      <w:sz w:val="18"/>
                      <w:szCs w:val="18"/>
                      <w:lang w:eastAsia="zh-CN"/>
                    </w:rPr>
                    <w:t>工程内容实际建设与环评一致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256" w:hRule="atLeast"/>
              </w:trPr>
              <w:tc>
                <w:tcPr>
                  <w:tcW w:w="5892" w:type="dxa"/>
                  <w:tcMar>
                    <w:top w:w="28" w:type="dxa"/>
                    <w:bottom w:w="28" w:type="dxa"/>
                  </w:tcMar>
                  <w:vAlign w:val="center"/>
                </w:tcPr>
                <w:p>
                  <w:pPr>
                    <w:pageBreakBefore w:val="0"/>
                    <w:numPr>
                      <w:ilvl w:val="0"/>
                      <w:numId w:val="6"/>
                    </w:numPr>
                    <w:kinsoku/>
                    <w:wordWrap/>
                    <w:overflowPunct/>
                    <w:topLinePunct w:val="0"/>
                    <w:autoSpaceDE/>
                    <w:autoSpaceDN/>
                    <w:bidi w:val="0"/>
                    <w:spacing w:after="0" w:afterLines="0" w:line="360" w:lineRule="auto"/>
                    <w:ind w:leftChars="0"/>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你公司在项目的建设、运行过程中要严格按环评要求做好以下各项环保工作，确保各类污染物稳定达标排放。</w:t>
                  </w:r>
                </w:p>
                <w:p>
                  <w:pPr>
                    <w:pageBreakBefore w:val="0"/>
                    <w:numPr>
                      <w:ilvl w:val="0"/>
                      <w:numId w:val="7"/>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热风炉要配备完善的污染防治设施，采取有效的环保措施，确保污染物排放达到《锅炉大气污染物排放标准》（GB13271-2014）的燃煤锅炉特别排放标准限值，即颗粒物30mg/m</w:t>
                  </w:r>
                  <w:r>
                    <w:rPr>
                      <w:rFonts w:hint="eastAsia" w:ascii="宋体" w:hAnsi="宋体" w:eastAsia="宋体" w:cs="宋体"/>
                      <w:sz w:val="18"/>
                      <w:szCs w:val="18"/>
                      <w:vertAlign w:val="superscript"/>
                      <w:lang w:val="en-US" w:eastAsia="zh-CN"/>
                    </w:rPr>
                    <w:t>3</w:t>
                  </w:r>
                  <w:r>
                    <w:rPr>
                      <w:rFonts w:hint="eastAsia" w:ascii="宋体" w:hAnsi="宋体" w:eastAsia="宋体" w:cs="宋体"/>
                      <w:sz w:val="18"/>
                      <w:szCs w:val="18"/>
                      <w:lang w:val="en-US" w:eastAsia="zh-CN"/>
                    </w:rPr>
                    <w:t>，二氧化硫200mg/m</w:t>
                  </w:r>
                  <w:r>
                    <w:rPr>
                      <w:rFonts w:hint="eastAsia" w:ascii="宋体" w:hAnsi="宋体" w:eastAsia="宋体" w:cs="宋体"/>
                      <w:sz w:val="18"/>
                      <w:szCs w:val="18"/>
                      <w:vertAlign w:val="superscript"/>
                      <w:lang w:val="en-US" w:eastAsia="zh-CN"/>
                    </w:rPr>
                    <w:t>3</w:t>
                  </w:r>
                  <w:r>
                    <w:rPr>
                      <w:rFonts w:hint="eastAsia" w:ascii="宋体" w:hAnsi="宋体" w:eastAsia="宋体" w:cs="宋体"/>
                      <w:sz w:val="18"/>
                      <w:szCs w:val="18"/>
                      <w:lang w:val="en-US" w:eastAsia="zh-CN"/>
                    </w:rPr>
                    <w:t>，氮氧化物30mg/m</w:t>
                  </w:r>
                  <w:r>
                    <w:rPr>
                      <w:rFonts w:hint="eastAsia" w:ascii="宋体" w:hAnsi="宋体" w:eastAsia="宋体" w:cs="宋体"/>
                      <w:sz w:val="18"/>
                      <w:szCs w:val="18"/>
                      <w:vertAlign w:val="superscript"/>
                      <w:lang w:val="en-US" w:eastAsia="zh-CN"/>
                    </w:rPr>
                    <w:t>3</w:t>
                  </w:r>
                  <w:r>
                    <w:rPr>
                      <w:rFonts w:hint="eastAsia" w:ascii="宋体" w:hAnsi="宋体" w:eastAsia="宋体" w:cs="宋体"/>
                      <w:sz w:val="18"/>
                      <w:szCs w:val="18"/>
                      <w:vertAlign w:val="baseline"/>
                      <w:lang w:val="en-US" w:eastAsia="zh-CN"/>
                    </w:rPr>
                    <w:t>，处理后的烟气经20m高烟囱达标排放。</w:t>
                  </w:r>
                </w:p>
                <w:p>
                  <w:pPr>
                    <w:pageBreakBefore w:val="0"/>
                    <w:numPr>
                      <w:ilvl w:val="0"/>
                      <w:numId w:val="7"/>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生产生活废水综合利用不外排。</w:t>
                  </w:r>
                </w:p>
                <w:p>
                  <w:pPr>
                    <w:pageBreakBefore w:val="0"/>
                    <w:numPr>
                      <w:ilvl w:val="0"/>
                      <w:numId w:val="7"/>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做好原料和产品储存、输送等环节的封闭、降尘工作，尽可能减少无组织排放。</w:t>
                  </w:r>
                </w:p>
              </w:tc>
              <w:tc>
                <w:tcPr>
                  <w:tcW w:w="2872" w:type="dxa"/>
                  <w:vAlign w:val="center"/>
                </w:tcPr>
                <w:p>
                  <w:pPr>
                    <w:pageBreakBefore w:val="0"/>
                    <w:numPr>
                      <w:ilvl w:val="0"/>
                      <w:numId w:val="0"/>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1、热风炉配备完善的污染防治设施，各污染物能做到达标排放，处理后的烟气经21m高烟囱排放。</w:t>
                  </w:r>
                </w:p>
                <w:p>
                  <w:pPr>
                    <w:pageBreakBefore w:val="0"/>
                    <w:numPr>
                      <w:ilvl w:val="0"/>
                      <w:numId w:val="0"/>
                    </w:numPr>
                    <w:kinsoku/>
                    <w:wordWrap/>
                    <w:overflowPunct/>
                    <w:topLinePunct w:val="0"/>
                    <w:autoSpaceDE/>
                    <w:autoSpaceDN/>
                    <w:bidi w:val="0"/>
                    <w:spacing w:after="0" w:afterLines="0" w:line="360" w:lineRule="auto"/>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2、生活废水依托大阳煤矿生活污水处理设施处理；生产废水主要为脱硫塔循环水，循环利用不外排。</w:t>
                  </w:r>
                </w:p>
                <w:p>
                  <w:pPr>
                    <w:pStyle w:val="2"/>
                    <w:numPr>
                      <w:ilvl w:val="0"/>
                      <w:numId w:val="0"/>
                    </w:numPr>
                    <w:spacing w:line="360" w:lineRule="auto"/>
                    <w:rPr>
                      <w:rFonts w:hint="eastAsia"/>
                      <w:lang w:val="en-US" w:eastAsia="zh-CN"/>
                    </w:rPr>
                  </w:pPr>
                  <w:r>
                    <w:rPr>
                      <w:rFonts w:hint="eastAsia" w:ascii="宋体" w:hAnsi="宋体" w:eastAsia="宋体" w:cs="宋体"/>
                      <w:sz w:val="18"/>
                      <w:szCs w:val="18"/>
                      <w:vertAlign w:val="baseline"/>
                      <w:lang w:val="en-US" w:eastAsia="zh-CN" w:bidi="ar-SA"/>
                    </w:rPr>
                    <w:t>3、</w:t>
                  </w:r>
                  <w:r>
                    <w:rPr>
                      <w:rFonts w:hint="eastAsia" w:ascii="宋体" w:hAnsi="宋体" w:cs="宋体"/>
                      <w:sz w:val="18"/>
                      <w:szCs w:val="18"/>
                      <w:vertAlign w:val="baseline"/>
                      <w:lang w:val="en-US" w:eastAsia="zh-CN" w:bidi="ar-SA"/>
                    </w:rPr>
                    <w:t>成品下料口全封闭；</w:t>
                  </w:r>
                  <w:r>
                    <w:rPr>
                      <w:rFonts w:hint="eastAsia" w:ascii="宋体" w:hAnsi="宋体" w:eastAsia="宋体" w:cs="宋体"/>
                      <w:sz w:val="18"/>
                      <w:szCs w:val="18"/>
                      <w:vertAlign w:val="baseline"/>
                      <w:lang w:val="en-US" w:eastAsia="zh-CN" w:bidi="ar-SA"/>
                    </w:rPr>
                    <w:t>输送</w:t>
                  </w:r>
                  <w:r>
                    <w:rPr>
                      <w:rFonts w:hint="eastAsia" w:ascii="宋体" w:hAnsi="宋体" w:cs="宋体"/>
                      <w:sz w:val="18"/>
                      <w:szCs w:val="18"/>
                      <w:vertAlign w:val="baseline"/>
                      <w:lang w:val="en-US" w:eastAsia="zh-CN" w:bidi="ar-SA"/>
                    </w:rPr>
                    <w:t>皮带全</w:t>
                  </w:r>
                  <w:r>
                    <w:rPr>
                      <w:rFonts w:hint="eastAsia" w:ascii="宋体" w:hAnsi="宋体" w:eastAsia="宋体" w:cs="宋体"/>
                      <w:sz w:val="18"/>
                      <w:szCs w:val="18"/>
                      <w:vertAlign w:val="baseline"/>
                      <w:lang w:val="en-US" w:eastAsia="zh-CN" w:bidi="ar-SA"/>
                    </w:rPr>
                    <w:t>封闭</w:t>
                  </w:r>
                  <w:r>
                    <w:rPr>
                      <w:rFonts w:hint="eastAsia" w:ascii="宋体" w:hAnsi="宋体" w:cs="宋体"/>
                      <w:sz w:val="18"/>
                      <w:szCs w:val="18"/>
                      <w:vertAlign w:val="baseline"/>
                      <w:lang w:val="en-US" w:eastAsia="zh-CN" w:bidi="ar-SA"/>
                    </w:rPr>
                    <w:t>；车间定期清扫、洒水</w:t>
                  </w:r>
                  <w:r>
                    <w:rPr>
                      <w:rFonts w:hint="eastAsia" w:ascii="宋体" w:hAnsi="宋体" w:eastAsia="宋体" w:cs="宋体"/>
                      <w:sz w:val="18"/>
                      <w:szCs w:val="18"/>
                      <w:vertAlign w:val="baseline"/>
                      <w:lang w:val="en-US" w:eastAsia="zh-CN" w:bidi="ar-SA"/>
                    </w:rPr>
                    <w:t>降尘，</w:t>
                  </w:r>
                  <w:r>
                    <w:rPr>
                      <w:rFonts w:hint="eastAsia" w:ascii="宋体" w:hAnsi="宋体" w:cs="宋体"/>
                      <w:sz w:val="18"/>
                      <w:szCs w:val="18"/>
                      <w:vertAlign w:val="baseline"/>
                      <w:lang w:val="en-US" w:eastAsia="zh-CN" w:bidi="ar-SA"/>
                    </w:rPr>
                    <w:t>大幅</w:t>
                  </w:r>
                  <w:r>
                    <w:rPr>
                      <w:rFonts w:hint="eastAsia" w:ascii="宋体" w:hAnsi="宋体" w:eastAsia="宋体" w:cs="宋体"/>
                      <w:sz w:val="18"/>
                      <w:szCs w:val="18"/>
                      <w:vertAlign w:val="baseline"/>
                      <w:lang w:val="en-US" w:eastAsia="zh-CN" w:bidi="ar-SA"/>
                    </w:rPr>
                    <w:t>减少无组织排放。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trPr>
              <w:tc>
                <w:tcPr>
                  <w:tcW w:w="5892" w:type="dxa"/>
                  <w:tcMar>
                    <w:top w:w="28" w:type="dxa"/>
                    <w:bottom w:w="28" w:type="dxa"/>
                  </w:tcMar>
                  <w:vAlign w:val="center"/>
                </w:tcPr>
                <w:p>
                  <w:pPr>
                    <w:pageBreakBefore w:val="0"/>
                    <w:kinsoku/>
                    <w:wordWrap/>
                    <w:overflowPunct/>
                    <w:topLinePunct w:val="0"/>
                    <w:autoSpaceDE/>
                    <w:autoSpaceDN/>
                    <w:bidi w:val="0"/>
                    <w:spacing w:after="0" w:afterLines="0" w:line="36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四、工程建设必须严格执行环境保护设施与主体工程同时设计、同时施工、同时投产使用的环境保护“三同时”制度，泽州县环保局要做好该项目施工和运行期间的环境保护监督检查工作。</w:t>
                  </w:r>
                </w:p>
              </w:tc>
              <w:tc>
                <w:tcPr>
                  <w:tcW w:w="2872" w:type="dxa"/>
                  <w:vAlign w:val="center"/>
                </w:tcPr>
                <w:p>
                  <w:pPr>
                    <w:pageBreakBefore w:val="0"/>
                    <w:kinsoku/>
                    <w:wordWrap/>
                    <w:overflowPunct/>
                    <w:topLinePunct w:val="0"/>
                    <w:autoSpaceDE/>
                    <w:autoSpaceDN/>
                    <w:bidi w:val="0"/>
                    <w:spacing w:after="0" w:afterLines="0" w:line="360" w:lineRule="auto"/>
                    <w:jc w:val="center"/>
                    <w:textAlignment w:val="auto"/>
                    <w:rPr>
                      <w:rFonts w:hint="eastAsia" w:ascii="宋体" w:hAnsi="宋体" w:eastAsia="宋体" w:cs="宋体"/>
                      <w:sz w:val="18"/>
                      <w:szCs w:val="18"/>
                      <w:lang w:eastAsia="zh-CN"/>
                    </w:rPr>
                  </w:pPr>
                  <w:r>
                    <w:rPr>
                      <w:rFonts w:hint="eastAsia" w:ascii="宋体" w:hAnsi="宋体" w:eastAsia="宋体" w:cs="宋体"/>
                      <w:sz w:val="18"/>
                      <w:szCs w:val="18"/>
                      <w:lang w:eastAsia="zh-CN"/>
                    </w:rPr>
                    <w:t>工程建设严格执行了环境保护“三同时”制度，积极配合泽州县环保局的监督检查工作。</w:t>
                  </w:r>
                </w:p>
              </w:tc>
            </w:tr>
          </w:tbl>
          <w:p>
            <w:pPr>
              <w:pStyle w:val="2"/>
              <w:rPr>
                <w:rFonts w:hint="eastAsia" w:ascii="宋体" w:hAnsi="宋体" w:eastAsia="宋体"/>
                <w:color w:val="000000"/>
                <w:sz w:val="21"/>
                <w:szCs w:val="21"/>
              </w:rPr>
            </w:pPr>
          </w:p>
          <w:p>
            <w:pPr>
              <w:widowControl w:val="0"/>
              <w:spacing w:before="62" w:beforeLines="20" w:after="0" w:afterLines="0" w:line="360" w:lineRule="auto"/>
              <w:jc w:val="both"/>
              <w:rPr>
                <w:rFonts w:eastAsia="仿宋_GB2312"/>
                <w:color w:val="000000"/>
                <w:sz w:val="21"/>
                <w:szCs w:val="21"/>
              </w:rPr>
            </w:pPr>
          </w:p>
        </w:tc>
      </w:tr>
    </w:tbl>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五</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5" w:hRule="atLeast"/>
          <w:jc w:val="center"/>
        </w:trPr>
        <w:tc>
          <w:tcPr>
            <w:tcW w:w="8924" w:type="dxa"/>
            <w:vAlign w:val="top"/>
          </w:tcPr>
          <w:p>
            <w:pPr>
              <w:spacing w:before="62" w:beforeLines="20" w:line="240" w:lineRule="auto"/>
              <w:rPr>
                <w:rFonts w:hint="eastAsia" w:ascii="宋体" w:hAnsi="宋体" w:eastAsia="宋体"/>
                <w:color w:val="000000"/>
                <w:sz w:val="21"/>
                <w:szCs w:val="21"/>
              </w:rPr>
            </w:pPr>
            <w:r>
              <w:rPr>
                <w:rFonts w:hint="eastAsia" w:ascii="宋体" w:hAnsi="宋体" w:eastAsia="宋体"/>
                <w:color w:val="000000"/>
                <w:sz w:val="21"/>
                <w:szCs w:val="21"/>
              </w:rPr>
              <w:t>验收监测质量保证及质量控制：</w:t>
            </w:r>
          </w:p>
          <w:p>
            <w:pPr>
              <w:pStyle w:val="2"/>
              <w:pageBreakBefore w:val="0"/>
              <w:numPr>
                <w:ilvl w:val="0"/>
                <w:numId w:val="8"/>
              </w:numPr>
              <w:kinsoku/>
              <w:wordWrap/>
              <w:overflowPunct/>
              <w:topLinePunct w:val="0"/>
              <w:autoSpaceDE/>
              <w:autoSpaceDN/>
              <w:bidi w:val="0"/>
              <w:spacing w:after="0" w:afterLines="0" w:line="360" w:lineRule="auto"/>
              <w:ind w:left="0" w:leftChars="0" w:firstLine="0" w:firstLineChars="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验收监测质量保障体系：</w:t>
            </w:r>
            <w:bookmarkStart w:id="22" w:name="_Toc349134675"/>
          </w:p>
          <w:p>
            <w:pPr>
              <w:pStyle w:val="2"/>
              <w:pageBreakBefore w:val="0"/>
              <w:numPr>
                <w:ilvl w:val="0"/>
                <w:numId w:val="0"/>
              </w:numPr>
              <w:kinsoku/>
              <w:wordWrap/>
              <w:overflowPunct/>
              <w:topLinePunct w:val="0"/>
              <w:autoSpaceDE/>
              <w:autoSpaceDN/>
              <w:bidi w:val="0"/>
              <w:spacing w:after="0" w:afterLines="0" w:line="360" w:lineRule="auto"/>
              <w:ind w:leftChars="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（1）严格按照《环境监测技术规范》和有关环境监测质量保证的要求进行样品采集、保存、分析等，全程进行质量控制。</w:t>
            </w:r>
          </w:p>
          <w:p>
            <w:pPr>
              <w:pStyle w:val="2"/>
              <w:pageBreakBefore w:val="0"/>
              <w:kinsoku/>
              <w:wordWrap/>
              <w:overflowPunct/>
              <w:topLinePunct w:val="0"/>
              <w:autoSpaceDE/>
              <w:autoSpaceDN/>
              <w:bidi w:val="0"/>
              <w:spacing w:after="0" w:afterLines="0" w:line="360" w:lineRule="auto"/>
              <w:ind w:left="0" w:leftChars="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（2）参加本项目监测人员均持证上岗，监测仪器均经计量部门检定合格并在有效期内。</w:t>
            </w:r>
          </w:p>
          <w:p>
            <w:pPr>
              <w:pStyle w:val="2"/>
              <w:pageBreakBefore w:val="0"/>
              <w:kinsoku/>
              <w:wordWrap/>
              <w:overflowPunct/>
              <w:topLinePunct w:val="0"/>
              <w:autoSpaceDE/>
              <w:autoSpaceDN/>
              <w:bidi w:val="0"/>
              <w:spacing w:after="0" w:afterLines="0" w:line="360" w:lineRule="auto"/>
              <w:ind w:left="0" w:leftChars="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（3）废气采样前对仪器流量计进行校准，并检查气密性；采样和分析过程严格按照GB16297-1996和《空气和废气监测分析方法》（第四版）进行。</w:t>
            </w:r>
          </w:p>
          <w:p>
            <w:pPr>
              <w:pStyle w:val="2"/>
              <w:pageBreakBefore w:val="0"/>
              <w:kinsoku/>
              <w:wordWrap/>
              <w:overflowPunct/>
              <w:topLinePunct w:val="0"/>
              <w:autoSpaceDE/>
              <w:autoSpaceDN/>
              <w:bidi w:val="0"/>
              <w:spacing w:after="0" w:afterLines="0" w:line="360" w:lineRule="auto"/>
              <w:ind w:left="0" w:leftChars="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（4）声级计测量前后均经标准声源校准且合格，测试时无雨雪，无雷电，风速小于5.0m/s。</w:t>
            </w:r>
          </w:p>
          <w:p>
            <w:pPr>
              <w:pStyle w:val="2"/>
              <w:pageBreakBefore w:val="0"/>
              <w:kinsoku/>
              <w:wordWrap/>
              <w:overflowPunct/>
              <w:topLinePunct w:val="0"/>
              <w:autoSpaceDE/>
              <w:autoSpaceDN/>
              <w:bidi w:val="0"/>
              <w:spacing w:after="0" w:afterLines="0" w:line="360" w:lineRule="auto"/>
              <w:ind w:left="0" w:leftChars="0" w:firstLine="420" w:firstLineChars="20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（5）监测数据严格执行三级审核制度。</w:t>
            </w:r>
            <w:bookmarkEnd w:id="22"/>
          </w:p>
          <w:p>
            <w:pPr>
              <w:pStyle w:val="2"/>
              <w:ind w:left="0" w:leftChars="0" w:firstLine="0" w:firstLineChars="0"/>
              <w:rPr>
                <w:rFonts w:hint="eastAsia"/>
                <w:lang w:val="en-US" w:eastAsia="zh-CN"/>
              </w:rPr>
            </w:pPr>
            <w:r>
              <w:rPr>
                <w:rFonts w:hint="eastAsia"/>
                <w:lang w:val="en-US" w:eastAsia="zh-CN"/>
              </w:rPr>
              <w:t>2、监测分析方法</w:t>
            </w:r>
          </w:p>
          <w:p>
            <w:pPr>
              <w:pStyle w:val="2"/>
              <w:ind w:left="0" w:leftChars="0" w:firstLine="440" w:firstLineChars="200"/>
              <w:rPr>
                <w:rFonts w:hint="eastAsia"/>
                <w:lang w:val="en-US" w:eastAsia="zh-CN"/>
              </w:rPr>
            </w:pPr>
            <w:r>
              <w:rPr>
                <w:rFonts w:hint="eastAsia"/>
                <w:lang w:val="en-US" w:eastAsia="zh-CN"/>
              </w:rPr>
              <w:t>（1）噪声</w:t>
            </w:r>
          </w:p>
          <w:tbl>
            <w:tblPr>
              <w:tblStyle w:val="10"/>
              <w:tblpPr w:leftFromText="180" w:rightFromText="180" w:vertAnchor="text" w:horzAnchor="page" w:tblpXSpec="center" w:tblpY="68"/>
              <w:tblOverlap w:val="never"/>
              <w:tblW w:w="78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455"/>
              <w:gridCol w:w="990"/>
              <w:gridCol w:w="1290"/>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013"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检测项目</w:t>
                  </w:r>
                </w:p>
              </w:tc>
              <w:tc>
                <w:tcPr>
                  <w:tcW w:w="1455"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检测依据</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分析方法</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方法检出限</w:t>
                  </w:r>
                </w:p>
              </w:tc>
              <w:tc>
                <w:tcPr>
                  <w:tcW w:w="3150"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仪器设备及编号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6" w:hRule="atLeast"/>
                <w:jc w:val="center"/>
              </w:trPr>
              <w:tc>
                <w:tcPr>
                  <w:tcW w:w="101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sz w:val="18"/>
                      <w:szCs w:val="18"/>
                      <w:lang w:val="en-US" w:eastAsia="zh-CN"/>
                    </w:rPr>
                  </w:pPr>
                  <w:r>
                    <w:rPr>
                      <w:rFonts w:hint="eastAsia"/>
                      <w:sz w:val="18"/>
                      <w:szCs w:val="18"/>
                      <w:lang w:val="en-US" w:eastAsia="zh-CN"/>
                    </w:rPr>
                    <w:t>噪声</w:t>
                  </w:r>
                </w:p>
              </w:tc>
              <w:tc>
                <w:tcPr>
                  <w:tcW w:w="14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outlineLvl w:val="9"/>
                    <w:rPr>
                      <w:rFonts w:hint="eastAsia"/>
                      <w:sz w:val="18"/>
                      <w:szCs w:val="18"/>
                    </w:rPr>
                  </w:pPr>
                  <w:r>
                    <w:rPr>
                      <w:rFonts w:hint="eastAsia" w:ascii="Times New Roman" w:hAnsi="Times New Roman" w:eastAsia="宋体" w:cs="Times New Roman"/>
                      <w:b w:val="0"/>
                      <w:bCs w:val="0"/>
                      <w:sz w:val="18"/>
                      <w:szCs w:val="18"/>
                      <w:vertAlign w:val="baseline"/>
                      <w:lang w:val="en-US" w:eastAsia="zh-CN"/>
                    </w:rPr>
                    <w:t>GB 12348-2008</w:t>
                  </w:r>
                </w:p>
              </w:tc>
              <w:tc>
                <w:tcPr>
                  <w:tcW w:w="9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sz w:val="18"/>
                      <w:szCs w:val="18"/>
                      <w:lang w:val="en-US" w:eastAsia="zh-CN"/>
                    </w:rPr>
                  </w:pPr>
                  <w:r>
                    <w:rPr>
                      <w:rFonts w:hint="eastAsia"/>
                      <w:sz w:val="18"/>
                      <w:szCs w:val="18"/>
                      <w:lang w:val="en-US" w:eastAsia="zh-CN"/>
                    </w:rPr>
                    <w:t>——</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sz w:val="18"/>
                      <w:szCs w:val="18"/>
                      <w:lang w:eastAsia="zh-CN"/>
                    </w:rPr>
                  </w:pPr>
                  <w:r>
                    <w:rPr>
                      <w:rFonts w:hint="eastAsia"/>
                      <w:sz w:val="18"/>
                      <w:szCs w:val="18"/>
                      <w:lang w:eastAsia="zh-CN"/>
                    </w:rPr>
                    <w:t>——</w:t>
                  </w:r>
                </w:p>
              </w:tc>
              <w:tc>
                <w:tcPr>
                  <w:tcW w:w="31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ascii="宋体" w:hAnsi="宋体"/>
                      <w:sz w:val="18"/>
                      <w:szCs w:val="18"/>
                      <w:lang w:val="en-US" w:eastAsia="zh-CN"/>
                    </w:rPr>
                    <w:t>杭州爱华仪器有限公司</w:t>
                  </w:r>
                  <w:r>
                    <w:rPr>
                      <w:rFonts w:hint="eastAsia"/>
                      <w:sz w:val="18"/>
                      <w:szCs w:val="18"/>
                      <w:lang w:val="en-US" w:eastAsia="zh-CN"/>
                    </w:rPr>
                    <w:t>AWA6228+ 多功能声级计 （GCHB-YQ-003）</w:t>
                  </w:r>
                </w:p>
              </w:tc>
            </w:tr>
          </w:tbl>
          <w:p>
            <w:pPr>
              <w:pStyle w:val="2"/>
              <w:ind w:left="0" w:leftChars="0" w:firstLine="0" w:firstLineChars="0"/>
              <w:rPr>
                <w:rFonts w:hint="eastAsia"/>
                <w:lang w:val="en-US" w:eastAsia="zh-CN"/>
              </w:rPr>
            </w:pPr>
          </w:p>
          <w:p>
            <w:pPr>
              <w:pStyle w:val="2"/>
              <w:ind w:left="0" w:leftChars="0" w:firstLine="0" w:firstLineChars="0"/>
              <w:rPr>
                <w:rFonts w:hint="eastAsia"/>
                <w:lang w:val="en-US" w:eastAsia="zh-CN"/>
              </w:rPr>
            </w:pPr>
            <w:r>
              <w:rPr>
                <w:rFonts w:hint="eastAsia"/>
                <w:lang w:val="en-US" w:eastAsia="zh-CN"/>
              </w:rPr>
              <w:t xml:space="preserve">    （2）废气</w:t>
            </w:r>
          </w:p>
          <w:tbl>
            <w:tblPr>
              <w:tblStyle w:val="10"/>
              <w:tblW w:w="83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590"/>
              <w:gridCol w:w="1065"/>
              <w:gridCol w:w="1215"/>
              <w:gridCol w:w="3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检测项目</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检测依据</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分析方法</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方法检出限</w:t>
                  </w:r>
                </w:p>
              </w:tc>
              <w:tc>
                <w:tcPr>
                  <w:tcW w:w="3222" w:type="dxa"/>
                  <w:vAlign w:val="center"/>
                </w:tcPr>
                <w:p>
                  <w:pPr>
                    <w:keepNext w:val="0"/>
                    <w:keepLines w:val="0"/>
                    <w:pageBreakBefore w:val="0"/>
                    <w:widowControl/>
                    <w:kinsoku/>
                    <w:wordWrap/>
                    <w:overflowPunct/>
                    <w:topLinePunct w:val="0"/>
                    <w:autoSpaceDE/>
                    <w:autoSpaceDN/>
                    <w:bidi w:val="0"/>
                    <w:adjustRightInd w:val="0"/>
                    <w:snapToGrid w:val="0"/>
                    <w:spacing w:after="0"/>
                    <w:ind w:right="-128" w:rightChars="-58"/>
                    <w:jc w:val="center"/>
                    <w:outlineLvl w:val="9"/>
                    <w:rPr>
                      <w:rFonts w:hint="eastAsia" w:ascii="仿宋_GB2312" w:hAnsi="华文中宋" w:eastAsia="仿宋_GB2312"/>
                      <w:b/>
                      <w:bCs/>
                      <w:sz w:val="18"/>
                      <w:szCs w:val="18"/>
                    </w:rPr>
                  </w:pPr>
                  <w:r>
                    <w:rPr>
                      <w:rFonts w:hint="eastAsia" w:ascii="仿宋_GB2312" w:hAnsi="华文中宋" w:eastAsia="仿宋_GB2312"/>
                      <w:b/>
                      <w:bCs/>
                      <w:sz w:val="18"/>
                      <w:szCs w:val="18"/>
                    </w:rPr>
                    <w:t>仪器设备及编号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30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ascii="仿宋_GB2312" w:hAnsi="华文中宋" w:eastAsia="仿宋_GB2312"/>
                      <w:b/>
                      <w:bCs/>
                      <w:sz w:val="18"/>
                      <w:szCs w:val="18"/>
                    </w:rPr>
                  </w:pPr>
                  <w:r>
                    <w:rPr>
                      <w:rFonts w:hint="eastAsia" w:eastAsia="宋体"/>
                      <w:sz w:val="18"/>
                      <w:szCs w:val="18"/>
                      <w:lang w:val="en-US" w:eastAsia="zh-CN"/>
                    </w:rPr>
                    <w:t>无组织颗粒物</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ascii="仿宋_GB2312" w:hAnsi="华文中宋" w:eastAsia="仿宋_GB2312"/>
                      <w:b/>
                      <w:bCs/>
                      <w:sz w:val="18"/>
                      <w:szCs w:val="18"/>
                    </w:rPr>
                  </w:pPr>
                  <w:r>
                    <w:rPr>
                      <w:rFonts w:hint="eastAsia"/>
                      <w:sz w:val="18"/>
                      <w:szCs w:val="18"/>
                    </w:rPr>
                    <w:t>GB</w:t>
                  </w:r>
                  <w:r>
                    <w:rPr>
                      <w:rFonts w:hint="eastAsia"/>
                      <w:sz w:val="18"/>
                      <w:szCs w:val="18"/>
                      <w:lang w:val="en-US" w:eastAsia="zh-CN"/>
                    </w:rPr>
                    <w:t>/T 15432-1995</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ascii="仿宋_GB2312" w:hAnsi="华文中宋" w:eastAsia="仿宋_GB2312"/>
                      <w:b/>
                      <w:bCs/>
                      <w:sz w:val="18"/>
                      <w:szCs w:val="18"/>
                    </w:rPr>
                  </w:pPr>
                  <w:r>
                    <w:rPr>
                      <w:rFonts w:hint="eastAsia"/>
                      <w:sz w:val="18"/>
                      <w:szCs w:val="18"/>
                    </w:rPr>
                    <w:t>重量法</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ascii="仿宋_GB2312" w:hAnsi="华文中宋" w:eastAsia="仿宋_GB2312"/>
                      <w:b/>
                      <w:bCs/>
                      <w:sz w:val="18"/>
                      <w:szCs w:val="18"/>
                    </w:rPr>
                  </w:pPr>
                  <w:r>
                    <w:rPr>
                      <w:rFonts w:hint="eastAsia"/>
                      <w:sz w:val="18"/>
                      <w:szCs w:val="18"/>
                      <w:lang w:val="en-US" w:eastAsia="zh-CN"/>
                    </w:rPr>
                    <w:t>0.01 mg/m</w:t>
                  </w:r>
                  <w:r>
                    <w:rPr>
                      <w:rFonts w:hint="eastAsia"/>
                      <w:sz w:val="18"/>
                      <w:szCs w:val="18"/>
                      <w:vertAlign w:val="superscript"/>
                      <w:lang w:val="en-US" w:eastAsia="zh-CN"/>
                    </w:rPr>
                    <w:t>3</w:t>
                  </w:r>
                </w:p>
              </w:tc>
              <w:tc>
                <w:tcPr>
                  <w:tcW w:w="322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rPr>
                    <w:t>梅特勒-托利多仪器（上海）有限公司</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rPr>
                    <w:t>ME104E 电子</w:t>
                  </w:r>
                  <w:r>
                    <w:rPr>
                      <w:rFonts w:hint="eastAsia"/>
                      <w:color w:val="auto"/>
                      <w:sz w:val="18"/>
                      <w:szCs w:val="18"/>
                      <w:lang w:val="en-US" w:eastAsia="zh-CN"/>
                    </w:rPr>
                    <w:t>分析</w:t>
                  </w:r>
                  <w:r>
                    <w:rPr>
                      <w:rFonts w:hint="eastAsia"/>
                      <w:color w:val="auto"/>
                      <w:sz w:val="18"/>
                      <w:szCs w:val="18"/>
                    </w:rPr>
                    <w:t>天平</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rPr>
                    <w:t>（GCHB-YQ-041）</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color w:val="auto"/>
                      <w:sz w:val="18"/>
                      <w:szCs w:val="18"/>
                      <w:lang w:val="en-US" w:eastAsia="zh-CN"/>
                    </w:rPr>
                  </w:pPr>
                  <w:r>
                    <w:rPr>
                      <w:rFonts w:hint="eastAsia"/>
                      <w:color w:val="auto"/>
                      <w:sz w:val="18"/>
                      <w:szCs w:val="18"/>
                      <w:lang w:val="en-US" w:eastAsia="zh-CN"/>
                    </w:rPr>
                    <w:t>有效期：2019.8.8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30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sz w:val="18"/>
                      <w:szCs w:val="18"/>
                    </w:rPr>
                  </w:pPr>
                </w:p>
              </w:tc>
              <w:tc>
                <w:tcPr>
                  <w:tcW w:w="387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ascii="仿宋_GB2312" w:hAnsi="华文中宋" w:eastAsia="仿宋_GB2312"/>
                      <w:b/>
                      <w:bCs/>
                      <w:sz w:val="18"/>
                      <w:szCs w:val="18"/>
                    </w:rPr>
                  </w:pPr>
                  <w:r>
                    <w:rPr>
                      <w:rFonts w:hint="eastAsia"/>
                      <w:sz w:val="18"/>
                      <w:szCs w:val="18"/>
                      <w:lang w:val="en-US" w:eastAsia="zh-CN"/>
                    </w:rPr>
                    <w:t>——</w:t>
                  </w:r>
                </w:p>
              </w:tc>
              <w:tc>
                <w:tcPr>
                  <w:tcW w:w="322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青岛明华电子仪器有限公司</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全自动大气颗粒物采样器</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（GCHB-YQ-005</w:t>
                  </w:r>
                  <w:r>
                    <w:rPr>
                      <w:rFonts w:hint="default" w:ascii="Times New Roman" w:hAnsi="Times New Roman" w:cs="Times New Roman"/>
                      <w:color w:val="auto"/>
                      <w:sz w:val="18"/>
                      <w:szCs w:val="18"/>
                      <w:lang w:val="en-US" w:eastAsia="zh-CN"/>
                    </w:rPr>
                    <w:t>~</w:t>
                  </w:r>
                  <w:r>
                    <w:rPr>
                      <w:rFonts w:hint="eastAsia"/>
                      <w:color w:val="auto"/>
                      <w:sz w:val="18"/>
                      <w:szCs w:val="18"/>
                      <w:lang w:val="en-US" w:eastAsia="zh-CN"/>
                    </w:rPr>
                    <w:t>008）</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有效期：2018.8.14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sz w:val="18"/>
                      <w:szCs w:val="18"/>
                      <w:lang w:val="en-US" w:eastAsia="zh-CN"/>
                    </w:rPr>
                  </w:pPr>
                  <w:r>
                    <w:rPr>
                      <w:rFonts w:hint="eastAsia" w:eastAsia="宋体"/>
                      <w:sz w:val="18"/>
                      <w:szCs w:val="18"/>
                      <w:lang w:val="en-US" w:eastAsia="zh-CN"/>
                    </w:rPr>
                    <w:t>有组织颗粒物</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GB 16157-1996</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rPr>
                    <w:t>重量法</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w:t>
                  </w:r>
                </w:p>
              </w:tc>
              <w:tc>
                <w:tcPr>
                  <w:tcW w:w="322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rPr>
                    <w:t>梅特勒-托利多仪器（上海）有限公司</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rPr>
                    <w:t>ME104E 电子</w:t>
                  </w:r>
                  <w:r>
                    <w:rPr>
                      <w:rFonts w:hint="eastAsia"/>
                      <w:color w:val="auto"/>
                      <w:sz w:val="18"/>
                      <w:szCs w:val="18"/>
                      <w:lang w:val="en-US" w:eastAsia="zh-CN"/>
                    </w:rPr>
                    <w:t>分析</w:t>
                  </w:r>
                  <w:r>
                    <w:rPr>
                      <w:rFonts w:hint="eastAsia"/>
                      <w:color w:val="auto"/>
                      <w:sz w:val="18"/>
                      <w:szCs w:val="18"/>
                    </w:rPr>
                    <w:t>天平</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rPr>
                    <w:t>（GCHB-YQ-041）</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rPr>
                  </w:pPr>
                  <w:r>
                    <w:rPr>
                      <w:rFonts w:hint="eastAsia"/>
                      <w:color w:val="auto"/>
                      <w:sz w:val="18"/>
                      <w:szCs w:val="18"/>
                      <w:lang w:val="en-US" w:eastAsia="zh-CN"/>
                    </w:rPr>
                    <w:t>有效期：2019.8.8</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青岛明华电子仪器有限公司</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lang w:val="en-US" w:eastAsia="zh-CN"/>
                    </w:rPr>
                    <w:t>YQ3000-D</w:t>
                  </w:r>
                  <w:r>
                    <w:rPr>
                      <w:rFonts w:hint="eastAsia"/>
                      <w:color w:val="auto"/>
                      <w:sz w:val="18"/>
                      <w:szCs w:val="18"/>
                    </w:rPr>
                    <w:t>（GCHB-YQ-0</w:t>
                  </w:r>
                  <w:r>
                    <w:rPr>
                      <w:rFonts w:hint="eastAsia"/>
                      <w:color w:val="auto"/>
                      <w:sz w:val="18"/>
                      <w:szCs w:val="18"/>
                      <w:lang w:val="en-US" w:eastAsia="zh-CN"/>
                    </w:rPr>
                    <w:t>19</w:t>
                  </w:r>
                  <w:r>
                    <w:rPr>
                      <w:rFonts w:hint="eastAsia"/>
                      <w:color w:val="auto"/>
                      <w:sz w:val="18"/>
                      <w:szCs w:val="18"/>
                    </w:rPr>
                    <w:t>）</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lang w:val="en-US" w:eastAsia="zh-CN"/>
                    </w:rPr>
                    <w:t>YQ3000-C</w:t>
                  </w:r>
                  <w:r>
                    <w:rPr>
                      <w:rFonts w:hint="eastAsia"/>
                      <w:color w:val="auto"/>
                      <w:sz w:val="18"/>
                      <w:szCs w:val="18"/>
                    </w:rPr>
                    <w:t>（GCHB-YQ-0</w:t>
                  </w:r>
                  <w:r>
                    <w:rPr>
                      <w:rFonts w:hint="eastAsia"/>
                      <w:color w:val="auto"/>
                      <w:sz w:val="18"/>
                      <w:szCs w:val="18"/>
                      <w:lang w:val="en-US" w:eastAsia="zh-CN"/>
                    </w:rPr>
                    <w:t>18</w:t>
                  </w:r>
                  <w:r>
                    <w:rPr>
                      <w:rFonts w:hint="eastAsia"/>
                      <w:color w:val="auto"/>
                      <w:sz w:val="18"/>
                      <w:szCs w:val="18"/>
                    </w:rPr>
                    <w:t>）</w:t>
                  </w:r>
                </w:p>
                <w:p>
                  <w:pPr>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center"/>
                    <w:outlineLvl w:val="9"/>
                    <w:rPr>
                      <w:rFonts w:hint="eastAsia" w:eastAsia="宋体"/>
                      <w:color w:val="auto"/>
                      <w:sz w:val="18"/>
                      <w:szCs w:val="18"/>
                      <w:lang w:val="en-US" w:eastAsia="zh-CN"/>
                    </w:rPr>
                  </w:pPr>
                  <w:r>
                    <w:rPr>
                      <w:rFonts w:hint="eastAsia"/>
                      <w:color w:val="auto"/>
                      <w:sz w:val="18"/>
                      <w:szCs w:val="18"/>
                      <w:lang w:val="en-US" w:eastAsia="zh-CN"/>
                    </w:rPr>
                    <w:t>有效期：2019.1.21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sz w:val="18"/>
                      <w:szCs w:val="18"/>
                      <w:lang w:val="en-US" w:eastAsia="zh-CN"/>
                    </w:rPr>
                  </w:pPr>
                  <w:r>
                    <w:rPr>
                      <w:rFonts w:hint="eastAsia" w:eastAsia="宋体"/>
                      <w:sz w:val="18"/>
                      <w:szCs w:val="18"/>
                      <w:lang w:val="en-US" w:eastAsia="zh-CN"/>
                    </w:rPr>
                    <w:t>SO</w:t>
                  </w:r>
                  <w:r>
                    <w:rPr>
                      <w:rFonts w:hint="eastAsia" w:eastAsia="宋体"/>
                      <w:sz w:val="18"/>
                      <w:szCs w:val="18"/>
                      <w:vertAlign w:val="subscript"/>
                      <w:lang w:val="en-US" w:eastAsia="zh-CN"/>
                    </w:rPr>
                    <w:t>2*</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HJ57-2017</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定点位电解法</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3.0mg/m</w:t>
                  </w:r>
                  <w:r>
                    <w:rPr>
                      <w:rFonts w:hint="eastAsia"/>
                      <w:sz w:val="18"/>
                      <w:szCs w:val="18"/>
                      <w:vertAlign w:val="superscript"/>
                      <w:lang w:val="en-US" w:eastAsia="zh-CN"/>
                    </w:rPr>
                    <w:t>3</w:t>
                  </w:r>
                </w:p>
              </w:tc>
              <w:tc>
                <w:tcPr>
                  <w:tcW w:w="322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青岛明华电子仪器有限公司</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lang w:val="en-US" w:eastAsia="zh-CN"/>
                    </w:rPr>
                    <w:t>YQ3000-D</w:t>
                  </w:r>
                  <w:r>
                    <w:rPr>
                      <w:rFonts w:hint="eastAsia"/>
                      <w:color w:val="auto"/>
                      <w:sz w:val="18"/>
                      <w:szCs w:val="18"/>
                    </w:rPr>
                    <w:t>（GCHB-YQ-0</w:t>
                  </w:r>
                  <w:r>
                    <w:rPr>
                      <w:rFonts w:hint="eastAsia"/>
                      <w:color w:val="auto"/>
                      <w:sz w:val="18"/>
                      <w:szCs w:val="18"/>
                      <w:lang w:val="en-US" w:eastAsia="zh-CN"/>
                    </w:rPr>
                    <w:t>19</w:t>
                  </w:r>
                  <w:r>
                    <w:rPr>
                      <w:rFonts w:hint="eastAsia"/>
                      <w:color w:val="auto"/>
                      <w:sz w:val="18"/>
                      <w:szCs w:val="18"/>
                    </w:rPr>
                    <w:t>）</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r>
                    <w:rPr>
                      <w:rFonts w:hint="eastAsia"/>
                      <w:color w:val="auto"/>
                      <w:sz w:val="18"/>
                      <w:szCs w:val="18"/>
                      <w:lang w:val="en-US" w:eastAsia="zh-CN"/>
                    </w:rPr>
                    <w:t>YQ3000-C</w:t>
                  </w:r>
                  <w:r>
                    <w:rPr>
                      <w:rFonts w:hint="eastAsia"/>
                      <w:color w:val="auto"/>
                      <w:sz w:val="18"/>
                      <w:szCs w:val="18"/>
                    </w:rPr>
                    <w:t>（GCHB-YQ-0</w:t>
                  </w:r>
                  <w:r>
                    <w:rPr>
                      <w:rFonts w:hint="eastAsia"/>
                      <w:color w:val="auto"/>
                      <w:sz w:val="18"/>
                      <w:szCs w:val="18"/>
                      <w:lang w:val="en-US" w:eastAsia="zh-CN"/>
                    </w:rPr>
                    <w:t>18</w:t>
                  </w:r>
                  <w:r>
                    <w:rPr>
                      <w:rFonts w:hint="eastAsia"/>
                      <w:color w:val="auto"/>
                      <w:sz w:val="18"/>
                      <w:szCs w:val="18"/>
                    </w:rPr>
                    <w:t>）</w:t>
                  </w:r>
                </w:p>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lang w:val="en-US" w:eastAsia="zh-CN"/>
                    </w:rPr>
                  </w:pPr>
                  <w:r>
                    <w:rPr>
                      <w:rFonts w:hint="eastAsia"/>
                      <w:color w:val="auto"/>
                      <w:sz w:val="18"/>
                      <w:szCs w:val="18"/>
                      <w:lang w:val="en-US" w:eastAsia="zh-CN"/>
                    </w:rPr>
                    <w:t>有效期：2019.1.21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eastAsia="宋体"/>
                      <w:sz w:val="18"/>
                      <w:szCs w:val="18"/>
                      <w:lang w:val="en-US" w:eastAsia="zh-CN"/>
                    </w:rPr>
                  </w:pPr>
                  <w:r>
                    <w:rPr>
                      <w:rFonts w:hint="eastAsia" w:eastAsia="宋体"/>
                      <w:sz w:val="18"/>
                      <w:szCs w:val="18"/>
                      <w:lang w:val="en-US" w:eastAsia="zh-CN"/>
                    </w:rPr>
                    <w:t>氮氧化物</w:t>
                  </w:r>
                </w:p>
              </w:tc>
              <w:tc>
                <w:tcPr>
                  <w:tcW w:w="15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HJ 693-2014</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定电位电解法</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sz w:val="18"/>
                      <w:szCs w:val="18"/>
                      <w:lang w:val="en-US" w:eastAsia="zh-CN"/>
                    </w:rPr>
                  </w:pPr>
                  <w:r>
                    <w:rPr>
                      <w:rFonts w:hint="eastAsia"/>
                      <w:sz w:val="18"/>
                      <w:szCs w:val="18"/>
                      <w:lang w:val="en-US" w:eastAsia="zh-CN"/>
                    </w:rPr>
                    <w:t>3.0mg/m</w:t>
                  </w:r>
                  <w:r>
                    <w:rPr>
                      <w:rFonts w:hint="eastAsia"/>
                      <w:sz w:val="18"/>
                      <w:szCs w:val="18"/>
                      <w:vertAlign w:val="superscript"/>
                      <w:lang w:val="en-US" w:eastAsia="zh-CN"/>
                    </w:rPr>
                    <w:t>3</w:t>
                  </w:r>
                </w:p>
              </w:tc>
              <w:tc>
                <w:tcPr>
                  <w:tcW w:w="3222"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eastAsia"/>
                      <w:color w:val="auto"/>
                      <w:sz w:val="18"/>
                      <w:szCs w:val="18"/>
                    </w:rPr>
                  </w:pPr>
                </w:p>
              </w:tc>
            </w:tr>
          </w:tbl>
          <w:p>
            <w:pPr>
              <w:pStyle w:val="2"/>
              <w:numPr>
                <w:ilvl w:val="0"/>
                <w:numId w:val="0"/>
              </w:numPr>
              <w:rPr>
                <w:rFonts w:hint="eastAsia"/>
                <w:lang w:val="en-US" w:eastAsia="zh-CN"/>
              </w:rPr>
            </w:pPr>
          </w:p>
          <w:p>
            <w:pPr>
              <w:pStyle w:val="2"/>
              <w:ind w:left="0" w:leftChars="0" w:firstLine="0" w:firstLineChars="0"/>
              <w:rPr>
                <w:rFonts w:hint="eastAsia"/>
                <w:lang w:val="en-US" w:eastAsia="zh-CN"/>
              </w:rPr>
            </w:pPr>
            <w:r>
              <w:rPr>
                <w:rFonts w:hint="eastAsia"/>
                <w:lang w:val="en-US" w:eastAsia="zh-CN"/>
              </w:rPr>
              <w:t>3、监测仪器校准</w:t>
            </w:r>
          </w:p>
          <w:p>
            <w:pPr>
              <w:pStyle w:val="2"/>
              <w:ind w:left="0" w:leftChars="0" w:firstLine="440" w:firstLineChars="200"/>
              <w:rPr>
                <w:rFonts w:hint="eastAsia"/>
                <w:lang w:val="en-US" w:eastAsia="zh-CN"/>
              </w:rPr>
            </w:pPr>
            <w:r>
              <w:rPr>
                <w:rFonts w:hint="eastAsia"/>
                <w:lang w:val="en-US" w:eastAsia="zh-CN"/>
              </w:rPr>
              <w:t>（1）噪声监测仪器</w:t>
            </w:r>
          </w:p>
          <w:tbl>
            <w:tblPr>
              <w:tblStyle w:val="11"/>
              <w:tblW w:w="8797" w:type="dxa"/>
              <w:jc w:val="center"/>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170"/>
              <w:gridCol w:w="1465"/>
              <w:gridCol w:w="1201"/>
              <w:gridCol w:w="1165"/>
              <w:gridCol w:w="1108"/>
              <w:gridCol w:w="932"/>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208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校准仪型号</w:t>
                  </w:r>
                </w:p>
              </w:tc>
              <w:tc>
                <w:tcPr>
                  <w:tcW w:w="266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AWA6221A</w:t>
                  </w:r>
                </w:p>
              </w:tc>
              <w:tc>
                <w:tcPr>
                  <w:tcW w:w="2273"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校准仪编号</w:t>
                  </w:r>
                </w:p>
              </w:tc>
              <w:tc>
                <w:tcPr>
                  <w:tcW w:w="1772"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GCHB-YQ-001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kern w:val="0"/>
                      <w:sz w:val="18"/>
                      <w:szCs w:val="18"/>
                      <w:vertAlign w:val="baseline"/>
                      <w:lang w:val="en-US" w:eastAsia="zh-CN"/>
                    </w:rPr>
                  </w:pPr>
                  <w:r>
                    <w:rPr>
                      <w:rFonts w:hint="eastAsia"/>
                      <w:kern w:val="0"/>
                      <w:sz w:val="18"/>
                      <w:szCs w:val="18"/>
                      <w:vertAlign w:val="baseline"/>
                      <w:lang w:val="en-US" w:eastAsia="zh-CN"/>
                    </w:rPr>
                    <w:t>仪器</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名称</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仪器型号</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仪器编号</w:t>
                  </w:r>
                </w:p>
              </w:tc>
              <w:tc>
                <w:tcPr>
                  <w:tcW w:w="12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测试前校准值（dB）</w:t>
                  </w:r>
                </w:p>
              </w:tc>
              <w:tc>
                <w:tcPr>
                  <w:tcW w:w="11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kern w:val="0"/>
                      <w:sz w:val="18"/>
                      <w:szCs w:val="18"/>
                      <w:vertAlign w:val="baseline"/>
                    </w:rPr>
                  </w:pPr>
                  <w:r>
                    <w:rPr>
                      <w:rFonts w:hint="eastAsia"/>
                      <w:kern w:val="0"/>
                      <w:sz w:val="18"/>
                      <w:szCs w:val="18"/>
                      <w:vertAlign w:val="baseline"/>
                      <w:lang w:val="en-US" w:eastAsia="zh-CN"/>
                    </w:rPr>
                    <w:t>测试后校准值（dB）</w:t>
                  </w:r>
                </w:p>
              </w:tc>
              <w:tc>
                <w:tcPr>
                  <w:tcW w:w="11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标准声源数值（dB）</w:t>
                  </w:r>
                </w:p>
              </w:tc>
              <w:tc>
                <w:tcPr>
                  <w:tcW w:w="93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kern w:val="0"/>
                      <w:sz w:val="18"/>
                      <w:szCs w:val="18"/>
                      <w:vertAlign w:val="baseline"/>
                      <w:lang w:val="en-US" w:eastAsia="zh-CN"/>
                    </w:rPr>
                  </w:pPr>
                  <w:r>
                    <w:rPr>
                      <w:rFonts w:hint="eastAsia"/>
                      <w:kern w:val="0"/>
                      <w:sz w:val="18"/>
                      <w:szCs w:val="18"/>
                      <w:vertAlign w:val="baseline"/>
                      <w:lang w:val="en-US" w:eastAsia="zh-CN"/>
                    </w:rPr>
                    <w:t>允许</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误差</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91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多功能声级计</w:t>
                  </w:r>
                </w:p>
              </w:tc>
              <w:tc>
                <w:tcPr>
                  <w:tcW w:w="117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kern w:val="0"/>
                      <w:sz w:val="18"/>
                      <w:szCs w:val="18"/>
                      <w:vertAlign w:val="baseline"/>
                      <w:lang w:val="en-US"/>
                    </w:rPr>
                  </w:pPr>
                  <w:r>
                    <w:rPr>
                      <w:rFonts w:hint="eastAsia"/>
                      <w:kern w:val="0"/>
                      <w:sz w:val="18"/>
                      <w:szCs w:val="18"/>
                      <w:vertAlign w:val="baseline"/>
                      <w:lang w:val="en-US" w:eastAsia="zh-CN"/>
                    </w:rPr>
                    <w:t>AWA6228+</w:t>
                  </w:r>
                </w:p>
              </w:tc>
              <w:tc>
                <w:tcPr>
                  <w:tcW w:w="14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rPr>
                    <w:t>GCHB-YQ-</w:t>
                  </w:r>
                  <w:r>
                    <w:rPr>
                      <w:rFonts w:hint="eastAsia"/>
                      <w:kern w:val="0"/>
                      <w:sz w:val="18"/>
                      <w:szCs w:val="18"/>
                      <w:lang w:val="en-US" w:eastAsia="zh-CN"/>
                    </w:rPr>
                    <w:t>003</w:t>
                  </w:r>
                </w:p>
              </w:tc>
              <w:tc>
                <w:tcPr>
                  <w:tcW w:w="12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93.8</w:t>
                  </w:r>
                </w:p>
              </w:tc>
              <w:tc>
                <w:tcPr>
                  <w:tcW w:w="116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93.8</w:t>
                  </w:r>
                </w:p>
              </w:tc>
              <w:tc>
                <w:tcPr>
                  <w:tcW w:w="110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94.0</w:t>
                  </w:r>
                </w:p>
              </w:tc>
              <w:tc>
                <w:tcPr>
                  <w:tcW w:w="93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ascii="宋体" w:hAnsi="宋体" w:eastAsia="宋体" w:cs="宋体"/>
                      <w:kern w:val="0"/>
                      <w:sz w:val="18"/>
                      <w:szCs w:val="18"/>
                      <w:vertAlign w:val="baseline"/>
                    </w:rPr>
                    <w:t>±</w:t>
                  </w:r>
                  <w:r>
                    <w:rPr>
                      <w:rFonts w:hint="eastAsia" w:eastAsia="宋体"/>
                      <w:kern w:val="0"/>
                      <w:sz w:val="18"/>
                      <w:szCs w:val="18"/>
                      <w:vertAlign w:val="baseline"/>
                      <w:lang w:val="en-US" w:eastAsia="zh-CN"/>
                    </w:rPr>
                    <w:t>0.3dB</w:t>
                  </w:r>
                </w:p>
              </w:tc>
              <w:tc>
                <w:tcPr>
                  <w:tcW w:w="84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kern w:val="0"/>
                      <w:sz w:val="18"/>
                      <w:szCs w:val="18"/>
                      <w:vertAlign w:val="baseline"/>
                      <w:lang w:val="en-US" w:eastAsia="zh-CN"/>
                    </w:rPr>
                  </w:pPr>
                  <w:r>
                    <w:rPr>
                      <w:rFonts w:hint="eastAsia"/>
                      <w:kern w:val="0"/>
                      <w:sz w:val="18"/>
                      <w:szCs w:val="18"/>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91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kern w:val="0"/>
                      <w:sz w:val="18"/>
                      <w:szCs w:val="18"/>
                      <w:vertAlign w:val="baseline"/>
                      <w:lang w:val="en-US" w:eastAsia="zh-CN"/>
                    </w:rPr>
                  </w:pPr>
                  <w:r>
                    <w:rPr>
                      <w:rFonts w:hint="eastAsia"/>
                      <w:kern w:val="0"/>
                      <w:sz w:val="18"/>
                      <w:szCs w:val="18"/>
                      <w:vertAlign w:val="baseline"/>
                      <w:lang w:val="en-US" w:eastAsia="zh-CN"/>
                    </w:rPr>
                    <w:t>备 注</w:t>
                  </w:r>
                </w:p>
              </w:tc>
              <w:tc>
                <w:tcPr>
                  <w:tcW w:w="7881" w:type="dxa"/>
                  <w:gridSpan w:val="7"/>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kern w:val="0"/>
                      <w:sz w:val="18"/>
                      <w:szCs w:val="18"/>
                      <w:vertAlign w:val="baseline"/>
                      <w:lang w:val="en-US" w:eastAsia="zh-CN"/>
                    </w:rPr>
                  </w:pPr>
                  <w:r>
                    <w:rPr>
                      <w:rFonts w:hint="eastAsia"/>
                      <w:kern w:val="0"/>
                      <w:sz w:val="18"/>
                      <w:szCs w:val="18"/>
                      <w:vertAlign w:val="baseline"/>
                      <w:lang w:val="en-US" w:eastAsia="zh-CN"/>
                    </w:rPr>
                    <w:t>仪器检定日期为2017年10月31日，有效期至2018年10月30日。</w:t>
                  </w:r>
                </w:p>
              </w:tc>
            </w:tr>
          </w:tbl>
          <w:p>
            <w:pPr>
              <w:pStyle w:val="2"/>
              <w:ind w:left="0" w:leftChars="0" w:firstLine="0" w:firstLineChars="0"/>
              <w:rPr>
                <w:rFonts w:hint="eastAsia"/>
                <w:lang w:val="en-US" w:eastAsia="zh-CN"/>
              </w:rPr>
            </w:pPr>
          </w:p>
          <w:p>
            <w:pPr>
              <w:pStyle w:val="2"/>
              <w:numPr>
                <w:ilvl w:val="0"/>
                <w:numId w:val="0"/>
              </w:numPr>
              <w:ind w:leftChars="0" w:firstLine="440" w:firstLineChars="200"/>
              <w:rPr>
                <w:rFonts w:hint="eastAsia"/>
                <w:lang w:val="en-US" w:eastAsia="zh-CN"/>
              </w:rPr>
            </w:pPr>
            <w:r>
              <w:rPr>
                <w:rFonts w:hint="eastAsia"/>
                <w:lang w:val="en-US" w:eastAsia="zh-CN"/>
              </w:rPr>
              <w:t>（2）废气监测仪器</w:t>
            </w:r>
          </w:p>
          <w:tbl>
            <w:tblPr>
              <w:tblStyle w:val="10"/>
              <w:tblW w:w="8250" w:type="dxa"/>
              <w:jc w:val="center"/>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960"/>
              <w:gridCol w:w="1098"/>
              <w:gridCol w:w="1302"/>
              <w:gridCol w:w="690"/>
              <w:gridCol w:w="1365"/>
              <w:gridCol w:w="660"/>
              <w:gridCol w:w="735"/>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仪器型号</w:t>
                  </w:r>
                </w:p>
              </w:tc>
              <w:tc>
                <w:tcPr>
                  <w:tcW w:w="9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仪器</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编号</w:t>
                  </w: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sz w:val="18"/>
                      <w:szCs w:val="18"/>
                    </w:rPr>
                    <w:t>仪器</w:t>
                  </w:r>
                  <w:r>
                    <w:rPr>
                      <w:rFonts w:hint="eastAsia"/>
                      <w:sz w:val="18"/>
                      <w:szCs w:val="18"/>
                      <w:lang w:val="en-US" w:eastAsia="zh-CN"/>
                    </w:rPr>
                    <w:t>流量读数</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（L/min）</w:t>
                  </w:r>
                </w:p>
              </w:tc>
              <w:tc>
                <w:tcPr>
                  <w:tcW w:w="130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使用前校准流量计读数</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（L/min）</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相对误差</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使用后校准流量计读数</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（L/min）</w:t>
                  </w:r>
                </w:p>
              </w:tc>
              <w:tc>
                <w:tcPr>
                  <w:tcW w:w="6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lang w:val="en-US" w:eastAsia="zh-CN"/>
                    </w:rPr>
                    <w:t>相对误差</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允许</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误差</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是否</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5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rPr>
                    <w:t>YQ3000-</w:t>
                  </w:r>
                  <w:r>
                    <w:rPr>
                      <w:rFonts w:hint="eastAsia"/>
                      <w:sz w:val="18"/>
                      <w:szCs w:val="18"/>
                      <w:lang w:val="en-US" w:eastAsia="zh-CN"/>
                    </w:rPr>
                    <w:t>C</w:t>
                  </w:r>
                </w:p>
              </w:tc>
              <w:tc>
                <w:tcPr>
                  <w:tcW w:w="96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eastAsia="zh-CN"/>
                    </w:rPr>
                  </w:pPr>
                  <w:r>
                    <w:rPr>
                      <w:rFonts w:hint="eastAsia"/>
                      <w:sz w:val="18"/>
                      <w:szCs w:val="18"/>
                    </w:rPr>
                    <w:t>GCHB-YQ-01</w:t>
                  </w:r>
                  <w:r>
                    <w:rPr>
                      <w:rFonts w:hint="eastAsia"/>
                      <w:sz w:val="18"/>
                      <w:szCs w:val="18"/>
                      <w:lang w:val="en-US" w:eastAsia="zh-CN"/>
                    </w:rPr>
                    <w:t>8</w:t>
                  </w: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20</w:t>
                  </w:r>
                </w:p>
              </w:tc>
              <w:tc>
                <w:tcPr>
                  <w:tcW w:w="130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19.4</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-3.0</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20.3</w:t>
                  </w:r>
                </w:p>
              </w:tc>
              <w:tc>
                <w:tcPr>
                  <w:tcW w:w="6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1.5</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5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96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30</w:t>
                  </w:r>
                </w:p>
              </w:tc>
              <w:tc>
                <w:tcPr>
                  <w:tcW w:w="130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29.5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-1.7</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29.8</w:t>
                  </w:r>
                </w:p>
              </w:tc>
              <w:tc>
                <w:tcPr>
                  <w:tcW w:w="6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0.6</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5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96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40</w:t>
                  </w:r>
                </w:p>
              </w:tc>
              <w:tc>
                <w:tcPr>
                  <w:tcW w:w="130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39.0</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-2.5</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41.0</w:t>
                  </w:r>
                </w:p>
              </w:tc>
              <w:tc>
                <w:tcPr>
                  <w:tcW w:w="6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2.5</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5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96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0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50</w:t>
                  </w:r>
                </w:p>
              </w:tc>
              <w:tc>
                <w:tcPr>
                  <w:tcW w:w="130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49.5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51</w:t>
                  </w:r>
                </w:p>
              </w:tc>
              <w:tc>
                <w:tcPr>
                  <w:tcW w:w="66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-2.0</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bl>
          <w:p>
            <w:pPr>
              <w:pStyle w:val="2"/>
              <w:numPr>
                <w:ilvl w:val="0"/>
                <w:numId w:val="0"/>
              </w:numPr>
              <w:ind w:leftChars="0"/>
              <w:rPr>
                <w:rFonts w:hint="eastAsia"/>
                <w:lang w:val="en-US" w:eastAsia="zh-CN"/>
              </w:rPr>
            </w:pPr>
          </w:p>
          <w:tbl>
            <w:tblPr>
              <w:tblStyle w:val="11"/>
              <w:tblW w:w="8055" w:type="dxa"/>
              <w:jc w:val="center"/>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161"/>
              <w:gridCol w:w="1100"/>
              <w:gridCol w:w="1245"/>
              <w:gridCol w:w="1140"/>
              <w:gridCol w:w="1215"/>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仪器型号</w:t>
                  </w:r>
                </w:p>
              </w:tc>
              <w:tc>
                <w:tcPr>
                  <w:tcW w:w="350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rFonts w:hint="eastAsia"/>
                      <w:kern w:val="0"/>
                      <w:sz w:val="18"/>
                      <w:szCs w:val="18"/>
                    </w:rPr>
                    <w:t>YQ3000-</w:t>
                  </w:r>
                  <w:r>
                    <w:rPr>
                      <w:rFonts w:hint="eastAsia"/>
                      <w:kern w:val="0"/>
                      <w:sz w:val="18"/>
                      <w:szCs w:val="18"/>
                      <w:lang w:val="en-US" w:eastAsia="zh-CN"/>
                    </w:rPr>
                    <w:t>C（2018.8.4）</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仪器编号</w:t>
                  </w:r>
                </w:p>
              </w:tc>
              <w:tc>
                <w:tcPr>
                  <w:tcW w:w="196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rFonts w:hint="eastAsia"/>
                      <w:kern w:val="0"/>
                      <w:sz w:val="18"/>
                      <w:szCs w:val="18"/>
                    </w:rPr>
                    <w:t>GCHB-YQ-01</w:t>
                  </w:r>
                  <w:r>
                    <w:rPr>
                      <w:rFonts w:hint="eastAsia"/>
                      <w:kern w:val="0"/>
                      <w:sz w:val="18"/>
                      <w:szCs w:val="1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44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校准类别</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标准气体批号</w:t>
                  </w:r>
                </w:p>
              </w:tc>
              <w:tc>
                <w:tcPr>
                  <w:tcW w:w="11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保证值</w:t>
                  </w:r>
                  <w:r>
                    <w:rPr>
                      <w:rFonts w:hint="eastAsia"/>
                      <w:kern w:val="0"/>
                      <w:sz w:val="18"/>
                      <w:szCs w:val="18"/>
                    </w:rPr>
                    <w:t>（mg/m</w:t>
                  </w:r>
                  <w:r>
                    <w:rPr>
                      <w:rFonts w:hint="eastAsia"/>
                      <w:kern w:val="0"/>
                      <w:sz w:val="18"/>
                      <w:szCs w:val="18"/>
                      <w:vertAlign w:val="superscript"/>
                    </w:rPr>
                    <w:t>3</w:t>
                  </w:r>
                  <w:r>
                    <w:rPr>
                      <w:rFonts w:hint="eastAsia"/>
                      <w:kern w:val="0"/>
                      <w:sz w:val="18"/>
                      <w:szCs w:val="18"/>
                    </w:rPr>
                    <w:t>）</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使用前校准浓度读数</w:t>
                  </w:r>
                  <w:r>
                    <w:rPr>
                      <w:rFonts w:hint="eastAsia"/>
                      <w:kern w:val="0"/>
                      <w:sz w:val="18"/>
                      <w:szCs w:val="18"/>
                    </w:rPr>
                    <w:t>（mg/m</w:t>
                  </w:r>
                  <w:r>
                    <w:rPr>
                      <w:rFonts w:hint="eastAsia"/>
                      <w:kern w:val="0"/>
                      <w:sz w:val="18"/>
                      <w:szCs w:val="18"/>
                      <w:vertAlign w:val="superscript"/>
                    </w:rPr>
                    <w:t>3</w:t>
                  </w:r>
                  <w:r>
                    <w:rPr>
                      <w:rFonts w:hint="eastAsia"/>
                      <w:kern w:val="0"/>
                      <w:sz w:val="18"/>
                      <w:szCs w:val="18"/>
                    </w:rPr>
                    <w:t>）</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相对误差</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使用</w:t>
                  </w:r>
                  <w:r>
                    <w:rPr>
                      <w:rFonts w:hint="eastAsia"/>
                      <w:kern w:val="0"/>
                      <w:sz w:val="18"/>
                      <w:szCs w:val="18"/>
                      <w:lang w:val="en-US" w:eastAsia="zh-CN"/>
                    </w:rPr>
                    <w:t>后</w:t>
                  </w:r>
                  <w:r>
                    <w:rPr>
                      <w:kern w:val="0"/>
                      <w:sz w:val="18"/>
                      <w:szCs w:val="18"/>
                    </w:rPr>
                    <w:t>校准浓度读数</w:t>
                  </w:r>
                  <w:r>
                    <w:rPr>
                      <w:rFonts w:hint="eastAsia"/>
                      <w:kern w:val="0"/>
                      <w:sz w:val="18"/>
                      <w:szCs w:val="18"/>
                    </w:rPr>
                    <w:t>（mg/m</w:t>
                  </w:r>
                  <w:r>
                    <w:rPr>
                      <w:rFonts w:hint="eastAsia"/>
                      <w:kern w:val="0"/>
                      <w:sz w:val="18"/>
                      <w:szCs w:val="18"/>
                      <w:vertAlign w:val="superscript"/>
                    </w:rPr>
                    <w:t>3</w:t>
                  </w:r>
                  <w:r>
                    <w:rPr>
                      <w:rFonts w:hint="eastAsia"/>
                      <w:kern w:val="0"/>
                      <w:sz w:val="18"/>
                      <w:szCs w:val="18"/>
                    </w:rPr>
                    <w:t>）</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相对误差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left="210" w:hanging="180" w:hangingChars="100"/>
                    <w:jc w:val="both"/>
                    <w:textAlignment w:val="auto"/>
                    <w:outlineLvl w:val="9"/>
                    <w:rPr>
                      <w:kern w:val="0"/>
                      <w:sz w:val="18"/>
                      <w:szCs w:val="18"/>
                    </w:rPr>
                  </w:pPr>
                  <w:r>
                    <w:rPr>
                      <w:kern w:val="0"/>
                      <w:sz w:val="18"/>
                      <w:szCs w:val="18"/>
                    </w:rPr>
                    <w:t>仪器</w:t>
                  </w:r>
                  <w:r>
                    <w:rPr>
                      <w:rFonts w:hint="eastAsia"/>
                      <w:kern w:val="0"/>
                      <w:sz w:val="18"/>
                      <w:szCs w:val="18"/>
                    </w:rPr>
                    <w:t>（二氧化硫）校准</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74810032</w:t>
                  </w:r>
                </w:p>
              </w:tc>
              <w:tc>
                <w:tcPr>
                  <w:tcW w:w="11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285</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290</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1.8</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293</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81104036</w:t>
                  </w:r>
                </w:p>
              </w:tc>
              <w:tc>
                <w:tcPr>
                  <w:tcW w:w="11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57.7</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59</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2.3</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58</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74810054</w:t>
                  </w:r>
                </w:p>
              </w:tc>
              <w:tc>
                <w:tcPr>
                  <w:tcW w:w="11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1426</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1436</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0.7</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1418</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left="210" w:hanging="180" w:hangingChars="100"/>
                    <w:jc w:val="both"/>
                    <w:textAlignment w:val="auto"/>
                    <w:outlineLvl w:val="9"/>
                    <w:rPr>
                      <w:kern w:val="0"/>
                      <w:sz w:val="18"/>
                      <w:szCs w:val="18"/>
                    </w:rPr>
                  </w:pPr>
                  <w:r>
                    <w:rPr>
                      <w:kern w:val="0"/>
                      <w:sz w:val="18"/>
                      <w:szCs w:val="18"/>
                    </w:rPr>
                    <w:t>仪器</w:t>
                  </w:r>
                  <w:r>
                    <w:rPr>
                      <w:rFonts w:hint="eastAsia"/>
                      <w:kern w:val="0"/>
                      <w:sz w:val="18"/>
                      <w:szCs w:val="18"/>
                    </w:rPr>
                    <w:t>（一氧化氮）校准</w:t>
                  </w: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74810019</w:t>
                  </w:r>
                </w:p>
              </w:tc>
              <w:tc>
                <w:tcPr>
                  <w:tcW w:w="11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134</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129</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-3.7</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133</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p>
              </w:tc>
              <w:tc>
                <w:tcPr>
                  <w:tcW w:w="116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74510129</w:t>
                  </w:r>
                </w:p>
              </w:tc>
              <w:tc>
                <w:tcPr>
                  <w:tcW w:w="11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670</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681</w:t>
                  </w:r>
                </w:p>
              </w:tc>
              <w:tc>
                <w:tcPr>
                  <w:tcW w:w="114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1.6</w:t>
                  </w:r>
                </w:p>
              </w:tc>
              <w:tc>
                <w:tcPr>
                  <w:tcW w:w="12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679</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kern w:val="0"/>
                      <w:sz w:val="18"/>
                      <w:szCs w:val="18"/>
                      <w:lang w:val="en-US" w:eastAsia="zh-CN"/>
                    </w:rPr>
                    <w:t>1.3</w:t>
                  </w:r>
                </w:p>
              </w:tc>
            </w:tr>
          </w:tbl>
          <w:p>
            <w:pPr>
              <w:pStyle w:val="2"/>
              <w:numPr>
                <w:ilvl w:val="0"/>
                <w:numId w:val="0"/>
              </w:numPr>
              <w:ind w:leftChars="0"/>
              <w:rPr>
                <w:rFonts w:hint="eastAsia"/>
                <w:lang w:val="en-US" w:eastAsia="zh-CN"/>
              </w:rPr>
            </w:pPr>
          </w:p>
          <w:tbl>
            <w:tblPr>
              <w:tblStyle w:val="10"/>
              <w:tblW w:w="82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980"/>
              <w:gridCol w:w="1067"/>
              <w:gridCol w:w="1283"/>
              <w:gridCol w:w="735"/>
              <w:gridCol w:w="1305"/>
              <w:gridCol w:w="675"/>
              <w:gridCol w:w="7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7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仪器型号</w:t>
                  </w:r>
                </w:p>
              </w:tc>
              <w:tc>
                <w:tcPr>
                  <w:tcW w:w="9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仪器</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编号</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sz w:val="18"/>
                      <w:szCs w:val="18"/>
                    </w:rPr>
                    <w:t>仪器</w:t>
                  </w:r>
                  <w:r>
                    <w:rPr>
                      <w:rFonts w:hint="eastAsia"/>
                      <w:sz w:val="18"/>
                      <w:szCs w:val="18"/>
                      <w:lang w:val="en-US" w:eastAsia="zh-CN"/>
                    </w:rPr>
                    <w:t>流量读数</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（L/min）</w:t>
                  </w:r>
                </w:p>
              </w:tc>
              <w:tc>
                <w:tcPr>
                  <w:tcW w:w="128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使用前校准流量计读数</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（L/min）</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相对误差</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使用后校准流量计读数</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（L/min）</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lang w:val="en-US" w:eastAsia="zh-CN"/>
                    </w:rPr>
                    <w:t>相对误差</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允许</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误差</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是否</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7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rPr>
                    <w:t>YQ3000-</w:t>
                  </w:r>
                  <w:r>
                    <w:rPr>
                      <w:rFonts w:hint="eastAsia"/>
                      <w:sz w:val="18"/>
                      <w:szCs w:val="18"/>
                      <w:lang w:val="en-US" w:eastAsia="zh-CN"/>
                    </w:rPr>
                    <w:t>D</w:t>
                  </w:r>
                </w:p>
              </w:tc>
              <w:tc>
                <w:tcPr>
                  <w:tcW w:w="98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eastAsia="zh-CN"/>
                    </w:rPr>
                  </w:pPr>
                  <w:r>
                    <w:rPr>
                      <w:rFonts w:hint="eastAsia"/>
                      <w:sz w:val="18"/>
                      <w:szCs w:val="18"/>
                    </w:rPr>
                    <w:t>GCHB-YQ-01</w:t>
                  </w:r>
                  <w:r>
                    <w:rPr>
                      <w:rFonts w:hint="eastAsia"/>
                      <w:sz w:val="18"/>
                      <w:szCs w:val="18"/>
                      <w:lang w:val="en-US" w:eastAsia="zh-CN"/>
                    </w:rPr>
                    <w:t>9</w:t>
                  </w: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20</w:t>
                  </w:r>
                </w:p>
              </w:tc>
              <w:tc>
                <w:tcPr>
                  <w:tcW w:w="128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19.9</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-0.5</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19.3</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-3.5</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98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30</w:t>
                  </w:r>
                </w:p>
              </w:tc>
              <w:tc>
                <w:tcPr>
                  <w:tcW w:w="128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29.7</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29.5</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-1.7</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98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40</w:t>
                  </w:r>
                </w:p>
              </w:tc>
              <w:tc>
                <w:tcPr>
                  <w:tcW w:w="128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39.6</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77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98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0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50</w:t>
                  </w:r>
                </w:p>
              </w:tc>
              <w:tc>
                <w:tcPr>
                  <w:tcW w:w="128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49.5</w:t>
                  </w:r>
                </w:p>
              </w:tc>
              <w:tc>
                <w:tcPr>
                  <w:tcW w:w="73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w:t>
                  </w:r>
                </w:p>
              </w:tc>
              <w:tc>
                <w:tcPr>
                  <w:tcW w:w="13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49.4</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-1.2</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sz w:val="18"/>
                      <w:szCs w:val="18"/>
                    </w:rPr>
                    <w:t>5%</w:t>
                  </w:r>
                </w:p>
              </w:tc>
              <w:tc>
                <w:tcPr>
                  <w:tcW w:w="6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bl>
          <w:p>
            <w:pPr>
              <w:pStyle w:val="2"/>
              <w:numPr>
                <w:ilvl w:val="0"/>
                <w:numId w:val="0"/>
              </w:numPr>
              <w:ind w:leftChars="0"/>
              <w:rPr>
                <w:rFonts w:hint="eastAsia"/>
                <w:lang w:val="en-US" w:eastAsia="zh-CN"/>
              </w:rPr>
            </w:pPr>
          </w:p>
          <w:tbl>
            <w:tblPr>
              <w:tblStyle w:val="11"/>
              <w:tblW w:w="8107" w:type="dxa"/>
              <w:jc w:val="center"/>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091"/>
              <w:gridCol w:w="1095"/>
              <w:gridCol w:w="1380"/>
              <w:gridCol w:w="1110"/>
              <w:gridCol w:w="129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7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仪器型号</w:t>
                  </w:r>
                </w:p>
              </w:tc>
              <w:tc>
                <w:tcPr>
                  <w:tcW w:w="356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rFonts w:hint="eastAsia"/>
                      <w:kern w:val="0"/>
                      <w:sz w:val="18"/>
                      <w:szCs w:val="18"/>
                    </w:rPr>
                    <w:t>YQ3000-</w:t>
                  </w:r>
                  <w:r>
                    <w:rPr>
                      <w:rFonts w:hint="eastAsia"/>
                      <w:kern w:val="0"/>
                      <w:sz w:val="18"/>
                      <w:szCs w:val="18"/>
                      <w:lang w:val="en-US" w:eastAsia="zh-CN"/>
                    </w:rPr>
                    <w:t>D（2018.8.5）</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仪器编号</w:t>
                  </w:r>
                </w:p>
              </w:tc>
              <w:tc>
                <w:tcPr>
                  <w:tcW w:w="2055"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rFonts w:hint="eastAsia"/>
                      <w:kern w:val="0"/>
                      <w:sz w:val="18"/>
                      <w:szCs w:val="18"/>
                    </w:rPr>
                    <w:t>GCHB-YQ-01</w:t>
                  </w:r>
                  <w:r>
                    <w:rPr>
                      <w:rFonts w:hint="eastAsia"/>
                      <w:kern w:val="0"/>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137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校准类别</w:t>
                  </w:r>
                </w:p>
              </w:tc>
              <w:tc>
                <w:tcPr>
                  <w:tcW w:w="109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标准气体批号</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保证值</w:t>
                  </w:r>
                  <w:r>
                    <w:rPr>
                      <w:rFonts w:hint="eastAsia"/>
                      <w:kern w:val="0"/>
                      <w:sz w:val="18"/>
                      <w:szCs w:val="18"/>
                    </w:rPr>
                    <w:t>（mg/m</w:t>
                  </w:r>
                  <w:r>
                    <w:rPr>
                      <w:rFonts w:hint="eastAsia"/>
                      <w:kern w:val="0"/>
                      <w:sz w:val="18"/>
                      <w:szCs w:val="18"/>
                      <w:vertAlign w:val="superscript"/>
                    </w:rPr>
                    <w:t>3</w:t>
                  </w:r>
                  <w:r>
                    <w:rPr>
                      <w:rFonts w:hint="eastAsia"/>
                      <w:kern w:val="0"/>
                      <w:sz w:val="18"/>
                      <w:szCs w:val="18"/>
                    </w:rPr>
                    <w:t>）</w:t>
                  </w:r>
                </w:p>
              </w:tc>
              <w:tc>
                <w:tcPr>
                  <w:tcW w:w="13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使用前校准浓度读数</w:t>
                  </w:r>
                  <w:r>
                    <w:rPr>
                      <w:rFonts w:hint="eastAsia"/>
                      <w:kern w:val="0"/>
                      <w:sz w:val="18"/>
                      <w:szCs w:val="18"/>
                    </w:rPr>
                    <w:t>（mg/m</w:t>
                  </w:r>
                  <w:r>
                    <w:rPr>
                      <w:rFonts w:hint="eastAsia"/>
                      <w:kern w:val="0"/>
                      <w:sz w:val="18"/>
                      <w:szCs w:val="18"/>
                      <w:vertAlign w:val="superscript"/>
                    </w:rPr>
                    <w:t>3</w:t>
                  </w:r>
                  <w:r>
                    <w:rPr>
                      <w:rFonts w:hint="eastAsia"/>
                      <w:kern w:val="0"/>
                      <w:sz w:val="18"/>
                      <w:szCs w:val="18"/>
                    </w:rPr>
                    <w:t>）</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相对误差</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使用</w:t>
                  </w:r>
                  <w:r>
                    <w:rPr>
                      <w:rFonts w:hint="eastAsia"/>
                      <w:kern w:val="0"/>
                      <w:sz w:val="18"/>
                      <w:szCs w:val="18"/>
                      <w:lang w:val="en-US" w:eastAsia="zh-CN"/>
                    </w:rPr>
                    <w:t>后</w:t>
                  </w:r>
                  <w:r>
                    <w:rPr>
                      <w:kern w:val="0"/>
                      <w:sz w:val="18"/>
                      <w:szCs w:val="18"/>
                    </w:rPr>
                    <w:t>校准浓度读数</w:t>
                  </w:r>
                  <w:r>
                    <w:rPr>
                      <w:rFonts w:hint="eastAsia"/>
                      <w:kern w:val="0"/>
                      <w:sz w:val="18"/>
                      <w:szCs w:val="18"/>
                    </w:rPr>
                    <w:t>（mg/m</w:t>
                  </w:r>
                  <w:r>
                    <w:rPr>
                      <w:rFonts w:hint="eastAsia"/>
                      <w:kern w:val="0"/>
                      <w:sz w:val="18"/>
                      <w:szCs w:val="18"/>
                      <w:vertAlign w:val="superscript"/>
                    </w:rPr>
                    <w:t>3</w:t>
                  </w:r>
                  <w:r>
                    <w:rPr>
                      <w:rFonts w:hint="eastAsia"/>
                      <w:kern w:val="0"/>
                      <w:sz w:val="18"/>
                      <w:szCs w:val="18"/>
                    </w:rPr>
                    <w:t>）</w:t>
                  </w:r>
                </w:p>
              </w:tc>
              <w:tc>
                <w:tcPr>
                  <w:tcW w:w="7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r>
                    <w:rPr>
                      <w:kern w:val="0"/>
                      <w:sz w:val="18"/>
                      <w:szCs w:val="18"/>
                    </w:rPr>
                    <w:t>相对误差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left="210" w:hanging="180" w:hangingChars="100"/>
                    <w:jc w:val="both"/>
                    <w:textAlignment w:val="auto"/>
                    <w:outlineLvl w:val="9"/>
                    <w:rPr>
                      <w:kern w:val="0"/>
                      <w:sz w:val="18"/>
                      <w:szCs w:val="18"/>
                    </w:rPr>
                  </w:pPr>
                  <w:r>
                    <w:rPr>
                      <w:kern w:val="0"/>
                      <w:sz w:val="18"/>
                      <w:szCs w:val="18"/>
                    </w:rPr>
                    <w:t>仪器</w:t>
                  </w:r>
                  <w:r>
                    <w:rPr>
                      <w:rFonts w:hint="eastAsia"/>
                      <w:kern w:val="0"/>
                      <w:sz w:val="18"/>
                      <w:szCs w:val="18"/>
                    </w:rPr>
                    <w:t>（二氧化硫）校准</w:t>
                  </w:r>
                </w:p>
              </w:tc>
              <w:tc>
                <w:tcPr>
                  <w:tcW w:w="109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81104036</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57.7</w:t>
                  </w:r>
                </w:p>
              </w:tc>
              <w:tc>
                <w:tcPr>
                  <w:tcW w:w="13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58.0</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0.5</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58.0</w:t>
                  </w:r>
                </w:p>
              </w:tc>
              <w:tc>
                <w:tcPr>
                  <w:tcW w:w="7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p>
              </w:tc>
              <w:tc>
                <w:tcPr>
                  <w:tcW w:w="109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74810032</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285</w:t>
                  </w:r>
                </w:p>
              </w:tc>
              <w:tc>
                <w:tcPr>
                  <w:tcW w:w="13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296</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3.8</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285</w:t>
                  </w:r>
                </w:p>
              </w:tc>
              <w:tc>
                <w:tcPr>
                  <w:tcW w:w="7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p>
              </w:tc>
              <w:tc>
                <w:tcPr>
                  <w:tcW w:w="109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74810054</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1426</w:t>
                  </w:r>
                </w:p>
              </w:tc>
              <w:tc>
                <w:tcPr>
                  <w:tcW w:w="13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1418</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-0.6</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1441</w:t>
                  </w:r>
                </w:p>
              </w:tc>
              <w:tc>
                <w:tcPr>
                  <w:tcW w:w="7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left="210" w:hanging="180" w:hangingChars="100"/>
                    <w:jc w:val="both"/>
                    <w:textAlignment w:val="auto"/>
                    <w:outlineLvl w:val="9"/>
                    <w:rPr>
                      <w:kern w:val="0"/>
                      <w:sz w:val="18"/>
                      <w:szCs w:val="18"/>
                    </w:rPr>
                  </w:pPr>
                  <w:r>
                    <w:rPr>
                      <w:kern w:val="0"/>
                      <w:sz w:val="18"/>
                      <w:szCs w:val="18"/>
                    </w:rPr>
                    <w:t>仪器</w:t>
                  </w:r>
                  <w:r>
                    <w:rPr>
                      <w:rFonts w:hint="eastAsia"/>
                      <w:kern w:val="0"/>
                      <w:sz w:val="18"/>
                      <w:szCs w:val="18"/>
                    </w:rPr>
                    <w:t>（一氧化氮）校准</w:t>
                  </w:r>
                </w:p>
              </w:tc>
              <w:tc>
                <w:tcPr>
                  <w:tcW w:w="109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74810019</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134</w:t>
                  </w:r>
                </w:p>
              </w:tc>
              <w:tc>
                <w:tcPr>
                  <w:tcW w:w="13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133</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-0.7</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132</w:t>
                  </w:r>
                </w:p>
              </w:tc>
              <w:tc>
                <w:tcPr>
                  <w:tcW w:w="7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kern w:val="0"/>
                      <w:sz w:val="18"/>
                      <w:szCs w:val="18"/>
                    </w:rPr>
                  </w:pPr>
                </w:p>
              </w:tc>
              <w:tc>
                <w:tcPr>
                  <w:tcW w:w="109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74510129</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670</w:t>
                  </w:r>
                </w:p>
              </w:tc>
              <w:tc>
                <w:tcPr>
                  <w:tcW w:w="138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671</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0.1</w:t>
                  </w:r>
                </w:p>
              </w:tc>
              <w:tc>
                <w:tcPr>
                  <w:tcW w:w="129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669</w:t>
                  </w:r>
                </w:p>
              </w:tc>
              <w:tc>
                <w:tcPr>
                  <w:tcW w:w="7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kern w:val="0"/>
                      <w:sz w:val="18"/>
                      <w:szCs w:val="18"/>
                      <w:lang w:val="en-US" w:eastAsia="zh-CN"/>
                    </w:rPr>
                  </w:pPr>
                  <w:r>
                    <w:rPr>
                      <w:rFonts w:hint="eastAsia" w:eastAsia="宋体"/>
                      <w:kern w:val="0"/>
                      <w:sz w:val="18"/>
                      <w:szCs w:val="18"/>
                      <w:lang w:val="en-US" w:eastAsia="zh-CN"/>
                    </w:rPr>
                    <w:t>-0.1</w:t>
                  </w:r>
                </w:p>
              </w:tc>
            </w:tr>
          </w:tbl>
          <w:p>
            <w:pPr>
              <w:pStyle w:val="2"/>
              <w:numPr>
                <w:ilvl w:val="0"/>
                <w:numId w:val="0"/>
              </w:numPr>
              <w:ind w:leftChars="0"/>
              <w:rPr>
                <w:rFonts w:hint="eastAsia"/>
                <w:lang w:val="en-US" w:eastAsia="zh-CN"/>
              </w:rPr>
            </w:pPr>
          </w:p>
          <w:tbl>
            <w:tblPr>
              <w:tblStyle w:val="10"/>
              <w:tblW w:w="7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110"/>
              <w:gridCol w:w="750"/>
              <w:gridCol w:w="1005"/>
              <w:gridCol w:w="1065"/>
              <w:gridCol w:w="1020"/>
              <w:gridCol w:w="675"/>
              <w:gridCol w:w="630"/>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仪器型号</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仪器编号</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气路名称</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设置流量</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（L/min）</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仪器示值</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（L/min）</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标准示值</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（L/min）</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误差</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允许</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误差</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是否</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rPr>
                    <w:t>MH1200</w:t>
                  </w:r>
                  <w:r>
                    <w:rPr>
                      <w:rFonts w:hint="eastAsia"/>
                      <w:sz w:val="18"/>
                      <w:szCs w:val="18"/>
                      <w:lang w:eastAsia="zh-CN"/>
                    </w:rPr>
                    <w:t>（</w:t>
                  </w:r>
                  <w:r>
                    <w:rPr>
                      <w:rFonts w:hint="eastAsia"/>
                      <w:sz w:val="18"/>
                      <w:szCs w:val="18"/>
                      <w:lang w:val="en-US" w:eastAsia="zh-CN"/>
                    </w:rPr>
                    <w:t>2018.</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eastAsia="zh-CN"/>
                    </w:rPr>
                  </w:pPr>
                  <w:r>
                    <w:rPr>
                      <w:rFonts w:hint="eastAsia"/>
                      <w:sz w:val="18"/>
                      <w:szCs w:val="18"/>
                      <w:lang w:val="en-US" w:eastAsia="zh-CN"/>
                    </w:rPr>
                    <w:t>08.04</w:t>
                  </w:r>
                  <w:r>
                    <w:rPr>
                      <w:rFonts w:hint="eastAsia"/>
                      <w:sz w:val="18"/>
                      <w:szCs w:val="18"/>
                      <w:lang w:eastAsia="zh-CN"/>
                    </w:rPr>
                    <w:t>）</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YQ-0</w:t>
                  </w:r>
                  <w:r>
                    <w:rPr>
                      <w:rFonts w:hint="eastAsia"/>
                      <w:sz w:val="18"/>
                      <w:szCs w:val="18"/>
                      <w:lang w:val="en-US" w:eastAsia="zh-CN"/>
                    </w:rPr>
                    <w:t>05</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102</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2.0</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lang w:val="en-US"/>
                    </w:rPr>
                  </w:pPr>
                  <w:r>
                    <w:rPr>
                      <w:rFonts w:hint="eastAsia"/>
                      <w:sz w:val="18"/>
                      <w:szCs w:val="18"/>
                    </w:rPr>
                    <w:t>YQ-0</w:t>
                  </w:r>
                  <w:r>
                    <w:rPr>
                      <w:rFonts w:hint="eastAsia"/>
                      <w:sz w:val="18"/>
                      <w:szCs w:val="18"/>
                      <w:lang w:val="en-US" w:eastAsia="zh-CN"/>
                    </w:rPr>
                    <w:t>06</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99.7</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-0.3</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lang w:val="en-US"/>
                    </w:rPr>
                  </w:pPr>
                  <w:r>
                    <w:rPr>
                      <w:rFonts w:hint="eastAsia"/>
                      <w:sz w:val="18"/>
                      <w:szCs w:val="18"/>
                    </w:rPr>
                    <w:t>YQ-0</w:t>
                  </w:r>
                  <w:r>
                    <w:rPr>
                      <w:rFonts w:hint="eastAsia"/>
                      <w:sz w:val="18"/>
                      <w:szCs w:val="18"/>
                      <w:lang w:val="en-US" w:eastAsia="zh-CN"/>
                    </w:rPr>
                    <w:t>07</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100.1</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0.1</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lang w:val="en-US"/>
                    </w:rPr>
                  </w:pPr>
                  <w:r>
                    <w:rPr>
                      <w:rFonts w:hint="eastAsia"/>
                      <w:sz w:val="18"/>
                      <w:szCs w:val="18"/>
                    </w:rPr>
                    <w:t>YQ-0</w:t>
                  </w:r>
                  <w:r>
                    <w:rPr>
                      <w:rFonts w:hint="eastAsia"/>
                      <w:sz w:val="18"/>
                      <w:szCs w:val="18"/>
                      <w:lang w:val="en-US" w:eastAsia="zh-CN"/>
                    </w:rPr>
                    <w:t>08</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100.2</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0.2</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ind w:firstLine="180" w:firstLineChars="100"/>
                    <w:jc w:val="both"/>
                    <w:textAlignment w:val="auto"/>
                    <w:outlineLvl w:val="9"/>
                    <w:rPr>
                      <w:rFonts w:hint="eastAsia"/>
                      <w:sz w:val="18"/>
                      <w:szCs w:val="18"/>
                      <w:lang w:val="en-US" w:eastAsia="zh-CN"/>
                    </w:rPr>
                  </w:pPr>
                  <w:r>
                    <w:rPr>
                      <w:rFonts w:hint="eastAsia"/>
                      <w:sz w:val="18"/>
                      <w:szCs w:val="18"/>
                    </w:rPr>
                    <w:t>MH1200</w:t>
                  </w:r>
                  <w:r>
                    <w:rPr>
                      <w:rFonts w:hint="eastAsia"/>
                      <w:sz w:val="18"/>
                      <w:szCs w:val="18"/>
                      <w:lang w:eastAsia="zh-CN"/>
                    </w:rPr>
                    <w:t>（</w:t>
                  </w:r>
                  <w:r>
                    <w:rPr>
                      <w:rFonts w:hint="eastAsia"/>
                      <w:sz w:val="18"/>
                      <w:szCs w:val="18"/>
                      <w:lang w:val="en-US" w:eastAsia="zh-CN"/>
                    </w:rPr>
                    <w:t>2018.</w:t>
                  </w:r>
                </w:p>
                <w:p>
                  <w:pPr>
                    <w:keepNext w:val="0"/>
                    <w:keepLines w:val="0"/>
                    <w:pageBreakBefore w:val="0"/>
                    <w:widowControl/>
                    <w:kinsoku/>
                    <w:wordWrap/>
                    <w:overflowPunct/>
                    <w:topLinePunct w:val="0"/>
                    <w:autoSpaceDE/>
                    <w:autoSpaceDN/>
                    <w:bidi w:val="0"/>
                    <w:adjustRightInd w:val="0"/>
                    <w:snapToGrid w:val="0"/>
                    <w:spacing w:after="0"/>
                    <w:ind w:firstLine="180" w:firstLineChars="100"/>
                    <w:jc w:val="both"/>
                    <w:textAlignment w:val="auto"/>
                    <w:outlineLvl w:val="9"/>
                    <w:rPr>
                      <w:rFonts w:hint="eastAsia" w:eastAsia="宋体"/>
                      <w:sz w:val="18"/>
                      <w:szCs w:val="18"/>
                      <w:lang w:eastAsia="zh-CN"/>
                    </w:rPr>
                  </w:pPr>
                  <w:r>
                    <w:rPr>
                      <w:rFonts w:hint="eastAsia"/>
                      <w:sz w:val="18"/>
                      <w:szCs w:val="18"/>
                      <w:lang w:val="en-US" w:eastAsia="zh-CN"/>
                    </w:rPr>
                    <w:t>08.05</w:t>
                  </w:r>
                  <w:r>
                    <w:rPr>
                      <w:rFonts w:hint="eastAsia"/>
                      <w:sz w:val="18"/>
                      <w:szCs w:val="18"/>
                      <w:lang w:eastAsia="zh-CN"/>
                    </w:rPr>
                    <w:t>）</w:t>
                  </w: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YQ-0</w:t>
                  </w:r>
                  <w:r>
                    <w:rPr>
                      <w:rFonts w:hint="eastAsia"/>
                      <w:sz w:val="18"/>
                      <w:szCs w:val="18"/>
                      <w:lang w:val="en-US" w:eastAsia="zh-CN"/>
                    </w:rPr>
                    <w:t>05</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103</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3.0</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YQ-0</w:t>
                  </w:r>
                  <w:r>
                    <w:rPr>
                      <w:rFonts w:hint="eastAsia"/>
                      <w:sz w:val="18"/>
                      <w:szCs w:val="18"/>
                      <w:lang w:val="en-US" w:eastAsia="zh-CN"/>
                    </w:rPr>
                    <w:t>06</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100</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YQ-0</w:t>
                  </w:r>
                  <w:r>
                    <w:rPr>
                      <w:rFonts w:hint="eastAsia"/>
                      <w:sz w:val="18"/>
                      <w:szCs w:val="18"/>
                      <w:lang w:val="en-US" w:eastAsia="zh-CN"/>
                    </w:rPr>
                    <w:t>07</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100.3</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0.3</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sz w:val="18"/>
                      <w:szCs w:val="18"/>
                    </w:rPr>
                  </w:pPr>
                </w:p>
              </w:tc>
              <w:tc>
                <w:tcPr>
                  <w:tcW w:w="111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GCHB-</w:t>
                  </w:r>
                </w:p>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YQ-0</w:t>
                  </w:r>
                  <w:r>
                    <w:rPr>
                      <w:rFonts w:hint="eastAsia"/>
                      <w:sz w:val="18"/>
                      <w:szCs w:val="18"/>
                      <w:lang w:val="en-US" w:eastAsia="zh-CN"/>
                    </w:rPr>
                    <w:t>08</w:t>
                  </w:r>
                </w:p>
              </w:tc>
              <w:tc>
                <w:tcPr>
                  <w:tcW w:w="75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C</w:t>
                  </w:r>
                </w:p>
              </w:tc>
              <w:tc>
                <w:tcPr>
                  <w:tcW w:w="100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106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99.7</w:t>
                  </w:r>
                </w:p>
              </w:tc>
              <w:tc>
                <w:tcPr>
                  <w:tcW w:w="10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lang w:val="en-US" w:eastAsia="zh-CN"/>
                    </w:rPr>
                  </w:pPr>
                  <w:r>
                    <w:rPr>
                      <w:rFonts w:hint="eastAsia"/>
                      <w:sz w:val="18"/>
                      <w:szCs w:val="18"/>
                      <w:lang w:val="en-US" w:eastAsia="zh-CN"/>
                    </w:rPr>
                    <w:t>100</w:t>
                  </w:r>
                </w:p>
              </w:tc>
              <w:tc>
                <w:tcPr>
                  <w:tcW w:w="67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sz w:val="18"/>
                      <w:szCs w:val="18"/>
                      <w:lang w:val="en-US" w:eastAsia="zh-CN"/>
                    </w:rPr>
                  </w:pPr>
                  <w:r>
                    <w:rPr>
                      <w:rFonts w:hint="eastAsia" w:eastAsia="宋体"/>
                      <w:sz w:val="18"/>
                      <w:szCs w:val="18"/>
                      <w:lang w:val="en-US" w:eastAsia="zh-CN"/>
                    </w:rPr>
                    <w:t>-0.3</w:t>
                  </w:r>
                </w:p>
              </w:tc>
              <w:tc>
                <w:tcPr>
                  <w:tcW w:w="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5%</w:t>
                  </w:r>
                </w:p>
              </w:tc>
              <w:tc>
                <w:tcPr>
                  <w:tcW w:w="64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sz w:val="18"/>
                      <w:szCs w:val="18"/>
                    </w:rPr>
                  </w:pPr>
                  <w:r>
                    <w:rPr>
                      <w:rFonts w:hint="eastAsia"/>
                      <w:sz w:val="18"/>
                      <w:szCs w:val="18"/>
                      <w:lang w:val="en-US" w:eastAsia="zh-CN"/>
                    </w:rPr>
                    <w:t>备  注</w:t>
                  </w:r>
                </w:p>
              </w:tc>
              <w:tc>
                <w:tcPr>
                  <w:tcW w:w="6900" w:type="dxa"/>
                  <w:gridSpan w:val="8"/>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outlineLvl w:val="9"/>
                    <w:rPr>
                      <w:rFonts w:hint="eastAsia"/>
                      <w:b w:val="0"/>
                      <w:bCs w:val="0"/>
                      <w:sz w:val="18"/>
                      <w:szCs w:val="18"/>
                      <w:lang w:val="en-US"/>
                    </w:rPr>
                  </w:pPr>
                  <w:r>
                    <w:rPr>
                      <w:rFonts w:hint="eastAsia"/>
                      <w:b w:val="0"/>
                      <w:bCs w:val="0"/>
                      <w:sz w:val="18"/>
                      <w:szCs w:val="18"/>
                      <w:lang w:val="en-US" w:eastAsia="zh-CN"/>
                    </w:rPr>
                    <w:t>仪器有效期限至2019年9月10日。</w:t>
                  </w:r>
                </w:p>
              </w:tc>
            </w:tr>
          </w:tbl>
          <w:p>
            <w:pPr>
              <w:pStyle w:val="17"/>
              <w:spacing w:before="62" w:beforeLines="20" w:line="360" w:lineRule="auto"/>
              <w:ind w:left="0" w:leftChars="0" w:firstLine="0" w:firstLineChars="0"/>
              <w:rPr>
                <w:rFonts w:eastAsia="仿宋_GB2312"/>
                <w:color w:val="000000"/>
                <w:szCs w:val="21"/>
              </w:rPr>
            </w:pPr>
          </w:p>
        </w:tc>
      </w:tr>
    </w:tbl>
    <w:p>
      <w:pPr>
        <w:spacing w:line="360" w:lineRule="auto"/>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六</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jc w:val="center"/>
        </w:trPr>
        <w:tc>
          <w:tcPr>
            <w:tcW w:w="8924" w:type="dxa"/>
            <w:vAlign w:val="top"/>
          </w:tcPr>
          <w:p>
            <w:pPr>
              <w:spacing w:before="62" w:beforeLines="20" w:line="360" w:lineRule="auto"/>
              <w:rPr>
                <w:rFonts w:hint="eastAsia" w:ascii="宋体" w:hAnsi="宋体" w:eastAsia="宋体"/>
                <w:color w:val="000000"/>
                <w:sz w:val="21"/>
                <w:szCs w:val="21"/>
              </w:rPr>
            </w:pPr>
            <w:r>
              <w:rPr>
                <w:rFonts w:hint="eastAsia" w:ascii="宋体" w:hAnsi="宋体" w:eastAsia="宋体"/>
                <w:color w:val="000000"/>
                <w:sz w:val="21"/>
                <w:szCs w:val="21"/>
              </w:rPr>
              <w:t>验收监测内容：</w:t>
            </w:r>
          </w:p>
          <w:p>
            <w:pPr>
              <w:pStyle w:val="2"/>
              <w:pageBreakBefore w:val="0"/>
              <w:numPr>
                <w:ilvl w:val="0"/>
                <w:numId w:val="0"/>
              </w:numPr>
              <w:kinsoku/>
              <w:wordWrap/>
              <w:overflowPunct/>
              <w:topLinePunct w:val="0"/>
              <w:autoSpaceDE/>
              <w:autoSpaceDN/>
              <w:bidi w:val="0"/>
              <w:spacing w:after="0" w:afterLines="0" w:line="360" w:lineRule="auto"/>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厂界噪声</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表6-1  噪声监测内容</w:t>
            </w:r>
          </w:p>
          <w:tbl>
            <w:tblPr>
              <w:tblStyle w:val="10"/>
              <w:tblW w:w="839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15"/>
              <w:gridCol w:w="1095"/>
              <w:gridCol w:w="1781"/>
              <w:gridCol w:w="2220"/>
              <w:gridCol w:w="19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3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outlineLvl w:val="9"/>
                    <w:rPr>
                      <w:rFonts w:hint="eastAsia"/>
                      <w:bCs/>
                      <w:kern w:val="44"/>
                      <w:sz w:val="18"/>
                      <w:szCs w:val="18"/>
                    </w:rPr>
                  </w:pPr>
                  <w:r>
                    <w:rPr>
                      <w:rFonts w:hint="eastAsia"/>
                      <w:bCs/>
                      <w:kern w:val="44"/>
                      <w:sz w:val="18"/>
                      <w:szCs w:val="18"/>
                    </w:rPr>
                    <w:t>污染源名称</w:t>
                  </w:r>
                </w:p>
              </w:tc>
              <w:tc>
                <w:tcPr>
                  <w:tcW w:w="10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outlineLvl w:val="9"/>
                    <w:rPr>
                      <w:rFonts w:hint="eastAsia"/>
                      <w:bCs/>
                      <w:kern w:val="44"/>
                      <w:sz w:val="18"/>
                      <w:szCs w:val="18"/>
                    </w:rPr>
                  </w:pPr>
                  <w:r>
                    <w:rPr>
                      <w:rFonts w:hint="eastAsia"/>
                      <w:bCs/>
                      <w:kern w:val="44"/>
                      <w:sz w:val="18"/>
                      <w:szCs w:val="18"/>
                    </w:rPr>
                    <w:t>项目</w:t>
                  </w:r>
                </w:p>
              </w:tc>
              <w:tc>
                <w:tcPr>
                  <w:tcW w:w="17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outlineLvl w:val="9"/>
                    <w:rPr>
                      <w:rFonts w:hint="eastAsia"/>
                      <w:bCs/>
                      <w:kern w:val="44"/>
                      <w:sz w:val="18"/>
                      <w:szCs w:val="18"/>
                    </w:rPr>
                  </w:pPr>
                  <w:r>
                    <w:rPr>
                      <w:rFonts w:hint="eastAsia"/>
                      <w:bCs/>
                      <w:kern w:val="44"/>
                      <w:sz w:val="18"/>
                      <w:szCs w:val="18"/>
                    </w:rPr>
                    <w:t>分析方法</w:t>
                  </w:r>
                </w:p>
              </w:tc>
              <w:tc>
                <w:tcPr>
                  <w:tcW w:w="22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Chars="-93" w:hanging="167" w:hangingChars="93"/>
                    <w:jc w:val="center"/>
                    <w:textAlignment w:val="auto"/>
                    <w:outlineLvl w:val="9"/>
                    <w:rPr>
                      <w:rFonts w:hint="eastAsia"/>
                      <w:bCs/>
                      <w:kern w:val="44"/>
                      <w:sz w:val="18"/>
                      <w:szCs w:val="18"/>
                    </w:rPr>
                  </w:pPr>
                  <w:r>
                    <w:rPr>
                      <w:rFonts w:hint="eastAsia"/>
                      <w:bCs/>
                      <w:kern w:val="44"/>
                      <w:sz w:val="18"/>
                      <w:szCs w:val="18"/>
                    </w:rPr>
                    <w:t>监测频次</w:t>
                  </w:r>
                </w:p>
              </w:tc>
              <w:tc>
                <w:tcPr>
                  <w:tcW w:w="19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ind w:leftChars="-52" w:hanging="93" w:hangingChars="52"/>
                    <w:jc w:val="center"/>
                    <w:textAlignment w:val="auto"/>
                    <w:outlineLvl w:val="9"/>
                    <w:rPr>
                      <w:rFonts w:hint="eastAsia"/>
                      <w:bCs/>
                      <w:kern w:val="44"/>
                      <w:sz w:val="18"/>
                      <w:szCs w:val="18"/>
                    </w:rPr>
                  </w:pPr>
                  <w:r>
                    <w:rPr>
                      <w:rFonts w:hint="eastAsia"/>
                      <w:bCs/>
                      <w:kern w:val="44"/>
                      <w:sz w:val="18"/>
                      <w:szCs w:val="18"/>
                    </w:rPr>
                    <w:t>测点位置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75" w:hRule="atLeast"/>
                <w:jc w:val="center"/>
              </w:trPr>
              <w:tc>
                <w:tcPr>
                  <w:tcW w:w="131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2" w:leftChars="-1"/>
                    <w:jc w:val="center"/>
                    <w:textAlignment w:val="auto"/>
                    <w:outlineLvl w:val="9"/>
                    <w:rPr>
                      <w:rFonts w:hint="eastAsia" w:ascii="宋体" w:hAnsi="宋体" w:eastAsia="宋体"/>
                      <w:sz w:val="18"/>
                      <w:szCs w:val="18"/>
                      <w:lang w:val="en-US" w:eastAsia="zh-CN"/>
                    </w:rPr>
                  </w:pPr>
                  <w:r>
                    <w:rPr>
                      <w:rFonts w:hint="eastAsia" w:ascii="宋体" w:hAnsi="宋体"/>
                      <w:sz w:val="18"/>
                      <w:szCs w:val="18"/>
                      <w:lang w:val="en-US" w:eastAsia="zh-CN"/>
                    </w:rPr>
                    <w:t>厂界四周</w:t>
                  </w:r>
                </w:p>
              </w:tc>
              <w:tc>
                <w:tcPr>
                  <w:tcW w:w="109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exact"/>
                    <w:jc w:val="center"/>
                    <w:textAlignment w:val="auto"/>
                    <w:outlineLvl w:val="9"/>
                    <w:rPr>
                      <w:rFonts w:hint="eastAsia" w:ascii="宋体" w:hAnsi="宋体"/>
                      <w:sz w:val="18"/>
                      <w:szCs w:val="18"/>
                    </w:rPr>
                  </w:pPr>
                  <w:r>
                    <w:rPr>
                      <w:rFonts w:hint="eastAsia" w:ascii="宋体" w:hAnsi="宋体"/>
                      <w:sz w:val="18"/>
                      <w:szCs w:val="18"/>
                    </w:rPr>
                    <w:t>等效声级</w:t>
                  </w:r>
                </w:p>
              </w:tc>
              <w:tc>
                <w:tcPr>
                  <w:tcW w:w="178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20" w:lineRule="exact"/>
                    <w:jc w:val="center"/>
                    <w:textAlignment w:val="auto"/>
                    <w:outlineLvl w:val="9"/>
                    <w:rPr>
                      <w:rFonts w:hint="eastAsia" w:ascii="宋体" w:hAnsi="宋体"/>
                      <w:sz w:val="18"/>
                      <w:szCs w:val="18"/>
                    </w:rPr>
                  </w:pPr>
                  <w:r>
                    <w:rPr>
                      <w:sz w:val="18"/>
                      <w:szCs w:val="18"/>
                    </w:rPr>
                    <w:t>GB12348-2008</w:t>
                  </w:r>
                </w:p>
              </w:tc>
              <w:tc>
                <w:tcPr>
                  <w:tcW w:w="222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ind w:left="-26" w:leftChars="-64" w:hanging="115" w:hangingChars="64"/>
                    <w:jc w:val="center"/>
                    <w:textAlignment w:val="auto"/>
                    <w:outlineLvl w:val="9"/>
                    <w:rPr>
                      <w:rFonts w:hint="eastAsia" w:ascii="宋体" w:hAnsi="宋体"/>
                      <w:sz w:val="18"/>
                      <w:szCs w:val="18"/>
                    </w:rPr>
                  </w:pPr>
                  <w:r>
                    <w:rPr>
                      <w:rFonts w:hint="eastAsia" w:ascii="宋体" w:hAnsi="宋体"/>
                      <w:sz w:val="18"/>
                      <w:szCs w:val="18"/>
                    </w:rPr>
                    <w:t>连续2</w:t>
                  </w:r>
                  <w:r>
                    <w:rPr>
                      <w:rFonts w:hint="eastAsia" w:ascii="宋体" w:hAnsi="宋体"/>
                      <w:sz w:val="18"/>
                      <w:szCs w:val="18"/>
                      <w:lang w:val="en-US" w:eastAsia="zh-CN"/>
                    </w:rPr>
                    <w:t>天</w:t>
                  </w:r>
                  <w:r>
                    <w:rPr>
                      <w:rFonts w:hint="eastAsia" w:ascii="宋体" w:hAnsi="宋体"/>
                      <w:sz w:val="18"/>
                      <w:szCs w:val="18"/>
                    </w:rPr>
                    <w:t>，昼</w:t>
                  </w:r>
                  <w:r>
                    <w:rPr>
                      <w:rFonts w:hint="eastAsia" w:ascii="宋体" w:hAnsi="宋体"/>
                      <w:sz w:val="18"/>
                      <w:szCs w:val="18"/>
                      <w:lang w:eastAsia="zh-CN"/>
                    </w:rPr>
                    <w:t>、</w:t>
                  </w:r>
                  <w:r>
                    <w:rPr>
                      <w:rFonts w:hint="eastAsia" w:ascii="宋体" w:hAnsi="宋体"/>
                      <w:sz w:val="18"/>
                      <w:szCs w:val="18"/>
                    </w:rPr>
                    <w:t>夜各1次</w:t>
                  </w:r>
                </w:p>
              </w:tc>
              <w:tc>
                <w:tcPr>
                  <w:tcW w:w="198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outlineLvl w:val="9"/>
                    <w:rPr>
                      <w:rFonts w:hint="eastAsia" w:ascii="宋体" w:hAnsi="宋体"/>
                      <w:sz w:val="18"/>
                      <w:szCs w:val="18"/>
                    </w:rPr>
                  </w:pPr>
                  <w:r>
                    <w:rPr>
                      <w:rFonts w:hint="eastAsia" w:ascii="宋体" w:hAnsi="宋体"/>
                      <w:sz w:val="18"/>
                      <w:szCs w:val="18"/>
                    </w:rPr>
                    <w:t>测点选在法定厂界外1m，高度1.2m以上</w:t>
                  </w:r>
                </w:p>
              </w:tc>
            </w:tr>
          </w:tbl>
          <w:p>
            <w:pPr>
              <w:pStyle w:val="2"/>
              <w:pageBreakBefore w:val="0"/>
              <w:numPr>
                <w:ilvl w:val="0"/>
                <w:numId w:val="0"/>
              </w:numPr>
              <w:kinsoku/>
              <w:wordWrap/>
              <w:overflowPunct/>
              <w:topLinePunct w:val="0"/>
              <w:autoSpaceDE/>
              <w:autoSpaceDN/>
              <w:bidi w:val="0"/>
              <w:spacing w:after="0" w:afterLines="0" w:line="360" w:lineRule="auto"/>
              <w:textAlignment w:val="auto"/>
              <w:rPr>
                <w:rFonts w:hint="eastAsia" w:ascii="Times New Roman" w:hAnsi="Times New Roman" w:eastAsia="宋体" w:cs="Times New Roman"/>
                <w:kern w:val="2"/>
                <w:sz w:val="21"/>
                <w:szCs w:val="21"/>
                <w:lang w:val="en-US" w:eastAsia="zh-CN" w:bidi="ar-SA"/>
              </w:rPr>
            </w:pPr>
          </w:p>
          <w:p>
            <w:pPr>
              <w:pStyle w:val="2"/>
              <w:pageBreakBefore w:val="0"/>
              <w:numPr>
                <w:ilvl w:val="0"/>
                <w:numId w:val="0"/>
              </w:numPr>
              <w:kinsoku/>
              <w:wordWrap/>
              <w:overflowPunct/>
              <w:topLinePunct w:val="0"/>
              <w:autoSpaceDE/>
              <w:autoSpaceDN/>
              <w:bidi w:val="0"/>
              <w:spacing w:after="0" w:afterLines="0" w:line="360" w:lineRule="auto"/>
              <w:ind w:firstLine="420" w:firstLineChars="200"/>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厂界噪声测点示意图：</w:t>
            </w:r>
          </w:p>
          <w:p>
            <w:pPr>
              <w:pStyle w:val="2"/>
              <w:pageBreakBefore w:val="0"/>
              <w:numPr>
                <w:ilvl w:val="0"/>
                <w:numId w:val="0"/>
              </w:numPr>
              <w:kinsoku/>
              <w:wordWrap/>
              <w:overflowPunct/>
              <w:topLinePunct w:val="0"/>
              <w:autoSpaceDE/>
              <w:autoSpaceDN/>
              <w:bidi w:val="0"/>
              <w:spacing w:after="0" w:afterLines="0" w:line="360" w:lineRule="auto"/>
              <w:jc w:val="center"/>
              <w:textAlignment w:val="auto"/>
              <w:rPr>
                <w:rFonts w:hint="eastAsia" w:ascii="Times New Roman" w:hAnsi="Times New Roman" w:cs="Times New Roman"/>
                <w:kern w:val="2"/>
                <w:sz w:val="21"/>
                <w:szCs w:val="21"/>
                <w:lang w:val="en-US" w:eastAsia="zh-CN" w:bidi="ar-SA"/>
              </w:rPr>
            </w:pPr>
            <w:r>
              <w:drawing>
                <wp:inline distT="0" distB="0" distL="114300" distR="114300">
                  <wp:extent cx="5273040" cy="3232150"/>
                  <wp:effectExtent l="9525" t="9525" r="1333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273040" cy="3232150"/>
                          </a:xfrm>
                          <a:prstGeom prst="rect">
                            <a:avLst/>
                          </a:prstGeom>
                          <a:noFill/>
                          <a:ln w="9525">
                            <a:solidFill>
                              <a:schemeClr val="tx1"/>
                            </a:solidFill>
                          </a:ln>
                        </pic:spPr>
                      </pic:pic>
                    </a:graphicData>
                  </a:graphic>
                </wp:inline>
              </w:drawing>
            </w:r>
          </w:p>
          <w:p>
            <w:pPr>
              <w:pStyle w:val="2"/>
              <w:pageBreakBefore w:val="0"/>
              <w:numPr>
                <w:ilvl w:val="0"/>
                <w:numId w:val="0"/>
              </w:numPr>
              <w:kinsoku/>
              <w:wordWrap/>
              <w:overflowPunct/>
              <w:topLinePunct w:val="0"/>
              <w:autoSpaceDE/>
              <w:autoSpaceDN/>
              <w:bidi w:val="0"/>
              <w:spacing w:after="0" w:afterLines="0" w:line="360" w:lineRule="auto"/>
              <w:jc w:val="center"/>
              <w:textAlignment w:val="auto"/>
              <w:rPr>
                <w:rFonts w:hint="eastAsia" w:ascii="Times New Roman" w:hAnsi="Times New Roman" w:cs="Times New Roman"/>
                <w:b/>
                <w:bCs/>
                <w:kern w:val="2"/>
                <w:sz w:val="21"/>
                <w:szCs w:val="21"/>
                <w:lang w:val="en-US" w:eastAsia="zh-CN" w:bidi="ar-SA"/>
              </w:rPr>
            </w:pPr>
            <w:r>
              <w:rPr>
                <w:rFonts w:hint="eastAsia" w:ascii="Times New Roman" w:hAnsi="Times New Roman" w:cs="Times New Roman"/>
                <w:b/>
                <w:bCs/>
                <w:kern w:val="2"/>
                <w:sz w:val="21"/>
                <w:szCs w:val="21"/>
                <w:lang w:val="en-US" w:eastAsia="zh-CN" w:bidi="ar-SA"/>
              </w:rPr>
              <w:t>图6-1  厂界噪声测点示意图</w:t>
            </w:r>
          </w:p>
          <w:p>
            <w:pPr>
              <w:pStyle w:val="2"/>
              <w:pageBreakBefore w:val="0"/>
              <w:numPr>
                <w:ilvl w:val="0"/>
                <w:numId w:val="0"/>
              </w:numPr>
              <w:kinsoku/>
              <w:wordWrap/>
              <w:overflowPunct/>
              <w:topLinePunct w:val="0"/>
              <w:autoSpaceDE/>
              <w:autoSpaceDN/>
              <w:bidi w:val="0"/>
              <w:spacing w:after="0" w:afterLines="0" w:line="360" w:lineRule="auto"/>
              <w:textAlignment w:val="auto"/>
              <w:rPr>
                <w:rFonts w:hint="eastAsia"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2、废气</w:t>
            </w:r>
          </w:p>
          <w:p>
            <w:pPr>
              <w:keepNext w:val="0"/>
              <w:keepLines w:val="0"/>
              <w:pageBreakBefore w:val="0"/>
              <w:widowControl w:val="0"/>
              <w:kinsoku/>
              <w:wordWrap/>
              <w:overflowPunct/>
              <w:topLinePunct w:val="0"/>
              <w:autoSpaceDE/>
              <w:autoSpaceDN/>
              <w:bidi w:val="0"/>
              <w:adjustRightInd w:val="0"/>
              <w:snapToGrid w:val="0"/>
              <w:spacing w:line="500" w:lineRule="exact"/>
              <w:ind w:right="0" w:rightChars="0"/>
              <w:jc w:val="center"/>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表6-2  废气污染源监测内容</w:t>
            </w:r>
          </w:p>
          <w:tbl>
            <w:tblPr>
              <w:tblStyle w:val="10"/>
              <w:tblW w:w="8022" w:type="dxa"/>
              <w:jc w:val="center"/>
              <w:tblInd w:w="79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485"/>
              <w:gridCol w:w="1021"/>
              <w:gridCol w:w="2255"/>
              <w:gridCol w:w="1125"/>
              <w:gridCol w:w="14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6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bCs/>
                      <w:kern w:val="44"/>
                      <w:sz w:val="18"/>
                      <w:szCs w:val="18"/>
                      <w:lang w:val="en-US" w:eastAsia="zh-CN"/>
                    </w:rPr>
                  </w:pPr>
                  <w:r>
                    <w:rPr>
                      <w:rFonts w:hint="eastAsia"/>
                      <w:bCs/>
                      <w:kern w:val="44"/>
                      <w:sz w:val="18"/>
                      <w:szCs w:val="18"/>
                      <w:lang w:val="en-US" w:eastAsia="zh-CN"/>
                    </w:rPr>
                    <w:t>编号</w:t>
                  </w:r>
                </w:p>
              </w:tc>
              <w:tc>
                <w:tcPr>
                  <w:tcW w:w="14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bCs/>
                      <w:kern w:val="44"/>
                      <w:sz w:val="18"/>
                      <w:szCs w:val="18"/>
                    </w:rPr>
                  </w:pPr>
                  <w:r>
                    <w:rPr>
                      <w:rFonts w:hint="eastAsia"/>
                      <w:bCs/>
                      <w:kern w:val="44"/>
                      <w:sz w:val="18"/>
                      <w:szCs w:val="18"/>
                    </w:rPr>
                    <w:t>污染源名称</w:t>
                  </w:r>
                </w:p>
              </w:tc>
              <w:tc>
                <w:tcPr>
                  <w:tcW w:w="102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bCs/>
                      <w:kern w:val="44"/>
                      <w:sz w:val="18"/>
                      <w:szCs w:val="18"/>
                    </w:rPr>
                  </w:pPr>
                  <w:r>
                    <w:rPr>
                      <w:rFonts w:hint="eastAsia"/>
                      <w:bCs/>
                      <w:kern w:val="44"/>
                      <w:sz w:val="18"/>
                      <w:szCs w:val="18"/>
                      <w:lang w:val="en-US" w:eastAsia="zh-CN"/>
                    </w:rPr>
                    <w:t>监测</w:t>
                  </w:r>
                  <w:r>
                    <w:rPr>
                      <w:rFonts w:hint="eastAsia"/>
                      <w:bCs/>
                      <w:kern w:val="44"/>
                      <w:sz w:val="18"/>
                      <w:szCs w:val="18"/>
                    </w:rPr>
                    <w:t>项目</w:t>
                  </w:r>
                </w:p>
              </w:tc>
              <w:tc>
                <w:tcPr>
                  <w:tcW w:w="22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eastAsia="宋体"/>
                      <w:bCs/>
                      <w:kern w:val="44"/>
                      <w:sz w:val="18"/>
                      <w:szCs w:val="18"/>
                      <w:lang w:val="en-US" w:eastAsia="zh-CN"/>
                    </w:rPr>
                  </w:pPr>
                  <w:r>
                    <w:rPr>
                      <w:rFonts w:hint="eastAsia"/>
                      <w:bCs/>
                      <w:kern w:val="44"/>
                      <w:sz w:val="18"/>
                      <w:szCs w:val="18"/>
                      <w:lang w:val="en-US" w:eastAsia="zh-CN"/>
                    </w:rPr>
                    <w:t>测点位置</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Chars="-93" w:hanging="167" w:hangingChars="93"/>
                    <w:jc w:val="right"/>
                    <w:textAlignment w:val="auto"/>
                    <w:outlineLvl w:val="9"/>
                    <w:rPr>
                      <w:rFonts w:hint="eastAsia"/>
                      <w:bCs/>
                      <w:kern w:val="44"/>
                      <w:sz w:val="18"/>
                      <w:szCs w:val="18"/>
                    </w:rPr>
                  </w:pPr>
                  <w:r>
                    <w:rPr>
                      <w:rFonts w:hint="eastAsia"/>
                      <w:bCs/>
                      <w:kern w:val="44"/>
                      <w:sz w:val="18"/>
                      <w:szCs w:val="18"/>
                    </w:rPr>
                    <w:t>监测频次</w:t>
                  </w:r>
                </w:p>
              </w:tc>
              <w:tc>
                <w:tcPr>
                  <w:tcW w:w="14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Chars="-52" w:hanging="93" w:hangingChars="52"/>
                    <w:jc w:val="center"/>
                    <w:textAlignment w:val="auto"/>
                    <w:outlineLvl w:val="9"/>
                    <w:rPr>
                      <w:rFonts w:hint="eastAsia"/>
                      <w:bCs/>
                      <w:kern w:val="44"/>
                      <w:sz w:val="18"/>
                      <w:szCs w:val="18"/>
                    </w:rPr>
                  </w:pPr>
                  <w:r>
                    <w:rPr>
                      <w:rFonts w:hint="eastAsia"/>
                      <w:bCs/>
                      <w:kern w:val="44"/>
                      <w:sz w:val="18"/>
                      <w:szCs w:val="18"/>
                    </w:rPr>
                    <w:t>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6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sz w:val="18"/>
                      <w:szCs w:val="18"/>
                      <w:lang w:val="en-US" w:eastAsia="zh-CN"/>
                    </w:rPr>
                  </w:pPr>
                  <w:r>
                    <w:rPr>
                      <w:rFonts w:hint="eastAsia" w:ascii="宋体" w:hAnsi="宋体"/>
                      <w:sz w:val="18"/>
                      <w:szCs w:val="18"/>
                      <w:lang w:val="en-US" w:eastAsia="zh-CN"/>
                    </w:rPr>
                    <w:t>G1</w:t>
                  </w:r>
                </w:p>
              </w:tc>
              <w:tc>
                <w:tcPr>
                  <w:tcW w:w="14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sz w:val="18"/>
                      <w:szCs w:val="18"/>
                      <w:lang w:eastAsia="zh-CN"/>
                    </w:rPr>
                  </w:pPr>
                  <w:r>
                    <w:rPr>
                      <w:rFonts w:hint="eastAsia" w:ascii="宋体" w:hAnsi="宋体"/>
                      <w:sz w:val="18"/>
                      <w:szCs w:val="18"/>
                      <w:lang w:val="en-US" w:eastAsia="zh-CN"/>
                    </w:rPr>
                    <w:t>热风炉</w:t>
                  </w:r>
                </w:p>
              </w:tc>
              <w:tc>
                <w:tcPr>
                  <w:tcW w:w="102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Chars="-51" w:hanging="91" w:hangingChars="51"/>
                    <w:jc w:val="center"/>
                    <w:textAlignment w:val="auto"/>
                    <w:outlineLvl w:val="9"/>
                    <w:rPr>
                      <w:rFonts w:hint="eastAsia" w:ascii="宋体" w:hAnsi="宋体"/>
                      <w:sz w:val="18"/>
                      <w:szCs w:val="18"/>
                    </w:rPr>
                  </w:pPr>
                  <w:r>
                    <w:rPr>
                      <w:rFonts w:hint="eastAsia" w:ascii="宋体" w:hAnsi="宋体"/>
                      <w:sz w:val="18"/>
                      <w:szCs w:val="18"/>
                    </w:rPr>
                    <w:t>颗粒物</w:t>
                  </w:r>
                </w:p>
                <w:p>
                  <w:pPr>
                    <w:keepNext w:val="0"/>
                    <w:keepLines w:val="0"/>
                    <w:pageBreakBefore w:val="0"/>
                    <w:widowControl/>
                    <w:kinsoku/>
                    <w:wordWrap/>
                    <w:overflowPunct/>
                    <w:topLinePunct w:val="0"/>
                    <w:autoSpaceDE/>
                    <w:autoSpaceDN/>
                    <w:bidi w:val="0"/>
                    <w:adjustRightInd w:val="0"/>
                    <w:snapToGrid w:val="0"/>
                    <w:spacing w:after="0" w:line="240" w:lineRule="auto"/>
                    <w:ind w:leftChars="-51" w:hanging="91" w:hangingChars="51"/>
                    <w:jc w:val="center"/>
                    <w:textAlignment w:val="auto"/>
                    <w:outlineLvl w:val="9"/>
                    <w:rPr>
                      <w:rFonts w:hint="eastAsia" w:ascii="宋体" w:hAnsi="宋体"/>
                      <w:sz w:val="18"/>
                      <w:szCs w:val="18"/>
                      <w:lang w:val="en-US" w:eastAsia="zh-CN"/>
                    </w:rPr>
                  </w:pPr>
                  <w:r>
                    <w:rPr>
                      <w:rFonts w:hint="eastAsia" w:ascii="宋体" w:hAnsi="宋体"/>
                      <w:sz w:val="18"/>
                      <w:szCs w:val="18"/>
                      <w:lang w:val="en-US" w:eastAsia="zh-CN"/>
                    </w:rPr>
                    <w:t>SO</w:t>
                  </w:r>
                  <w:r>
                    <w:rPr>
                      <w:rFonts w:hint="eastAsia" w:ascii="宋体" w:hAnsi="宋体"/>
                      <w:sz w:val="18"/>
                      <w:szCs w:val="18"/>
                      <w:vertAlign w:val="subscript"/>
                      <w:lang w:val="en-US" w:eastAsia="zh-CN"/>
                    </w:rPr>
                    <w:t>2</w:t>
                  </w:r>
                </w:p>
                <w:p>
                  <w:pPr>
                    <w:keepNext w:val="0"/>
                    <w:keepLines w:val="0"/>
                    <w:pageBreakBefore w:val="0"/>
                    <w:widowControl/>
                    <w:kinsoku/>
                    <w:wordWrap/>
                    <w:overflowPunct/>
                    <w:topLinePunct w:val="0"/>
                    <w:autoSpaceDE/>
                    <w:autoSpaceDN/>
                    <w:bidi w:val="0"/>
                    <w:adjustRightInd w:val="0"/>
                    <w:snapToGrid w:val="0"/>
                    <w:spacing w:after="0" w:line="240" w:lineRule="auto"/>
                    <w:ind w:leftChars="-51" w:hanging="91" w:hangingChars="51"/>
                    <w:jc w:val="center"/>
                    <w:textAlignment w:val="auto"/>
                    <w:outlineLvl w:val="9"/>
                    <w:rPr>
                      <w:rFonts w:hint="eastAsia" w:ascii="宋体" w:hAnsi="宋体"/>
                      <w:sz w:val="18"/>
                      <w:szCs w:val="18"/>
                      <w:lang w:val="en-US" w:eastAsia="zh-CN"/>
                    </w:rPr>
                  </w:pPr>
                  <w:r>
                    <w:rPr>
                      <w:rFonts w:hint="eastAsia" w:ascii="宋体" w:hAnsi="宋体"/>
                      <w:sz w:val="18"/>
                      <w:szCs w:val="18"/>
                      <w:lang w:val="en-US" w:eastAsia="zh-CN"/>
                    </w:rPr>
                    <w:t>NO</w:t>
                  </w:r>
                  <w:r>
                    <w:rPr>
                      <w:rFonts w:hint="eastAsia" w:ascii="宋体" w:hAnsi="宋体"/>
                      <w:sz w:val="18"/>
                      <w:szCs w:val="18"/>
                      <w:vertAlign w:val="subscript"/>
                      <w:lang w:val="en-US" w:eastAsia="zh-CN"/>
                    </w:rPr>
                    <w:t>X</w:t>
                  </w:r>
                </w:p>
              </w:tc>
              <w:tc>
                <w:tcPr>
                  <w:tcW w:w="22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sz w:val="18"/>
                      <w:szCs w:val="18"/>
                      <w:lang w:val="en-US" w:eastAsia="zh-CN"/>
                    </w:rPr>
                  </w:pPr>
                  <w:r>
                    <w:rPr>
                      <w:rFonts w:hint="eastAsia" w:ascii="宋体" w:hAnsi="宋体"/>
                      <w:sz w:val="18"/>
                      <w:szCs w:val="18"/>
                      <w:lang w:val="en-US" w:eastAsia="zh-CN"/>
                    </w:rPr>
                    <w:t>废气进、出口（旋风除尘器前进口、脱硫塔后出口）</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0" w:leftChars="-50" w:right="-110" w:rightChars="-50"/>
                    <w:jc w:val="center"/>
                    <w:textAlignment w:val="auto"/>
                    <w:outlineLvl w:val="9"/>
                    <w:rPr>
                      <w:rFonts w:hint="eastAsia"/>
                      <w:sz w:val="18"/>
                      <w:szCs w:val="18"/>
                    </w:rPr>
                  </w:pPr>
                  <w:r>
                    <w:rPr>
                      <w:sz w:val="18"/>
                      <w:szCs w:val="18"/>
                    </w:rPr>
                    <w:t>连续</w:t>
                  </w:r>
                  <w:r>
                    <w:rPr>
                      <w:rFonts w:hint="eastAsia"/>
                      <w:sz w:val="18"/>
                      <w:szCs w:val="18"/>
                    </w:rPr>
                    <w:t>2</w:t>
                  </w:r>
                  <w:r>
                    <w:rPr>
                      <w:sz w:val="18"/>
                      <w:szCs w:val="18"/>
                    </w:rPr>
                    <w:t>天</w:t>
                  </w:r>
                  <w:r>
                    <w:rPr>
                      <w:rFonts w:hint="eastAsia"/>
                      <w:sz w:val="18"/>
                      <w:szCs w:val="18"/>
                    </w:rPr>
                    <w:t>，</w:t>
                  </w:r>
                </w:p>
                <w:p>
                  <w:pPr>
                    <w:keepNext w:val="0"/>
                    <w:keepLines w:val="0"/>
                    <w:pageBreakBefore w:val="0"/>
                    <w:widowControl/>
                    <w:kinsoku/>
                    <w:wordWrap/>
                    <w:overflowPunct/>
                    <w:topLinePunct w:val="0"/>
                    <w:autoSpaceDE/>
                    <w:autoSpaceDN/>
                    <w:bidi w:val="0"/>
                    <w:adjustRightInd w:val="0"/>
                    <w:snapToGrid w:val="0"/>
                    <w:spacing w:after="0" w:line="240" w:lineRule="auto"/>
                    <w:ind w:left="-110" w:leftChars="-50" w:right="-110" w:rightChars="-50"/>
                    <w:jc w:val="center"/>
                    <w:textAlignment w:val="auto"/>
                    <w:outlineLvl w:val="9"/>
                    <w:rPr>
                      <w:rFonts w:hint="eastAsia"/>
                      <w:sz w:val="18"/>
                      <w:szCs w:val="18"/>
                    </w:rPr>
                  </w:pPr>
                  <w:r>
                    <w:rPr>
                      <w:sz w:val="18"/>
                      <w:szCs w:val="18"/>
                    </w:rPr>
                    <w:t>每天</w:t>
                  </w:r>
                  <w:r>
                    <w:rPr>
                      <w:rFonts w:hint="eastAsia"/>
                      <w:sz w:val="18"/>
                      <w:szCs w:val="18"/>
                    </w:rPr>
                    <w:t>3</w:t>
                  </w:r>
                  <w:r>
                    <w:rPr>
                      <w:sz w:val="18"/>
                      <w:szCs w:val="18"/>
                    </w:rPr>
                    <w:t>次</w:t>
                  </w:r>
                </w:p>
              </w:tc>
              <w:tc>
                <w:tcPr>
                  <w:tcW w:w="148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sz w:val="18"/>
                      <w:szCs w:val="18"/>
                    </w:rPr>
                  </w:pPr>
                  <w:r>
                    <w:rPr>
                      <w:rFonts w:hint="eastAsia"/>
                      <w:sz w:val="18"/>
                      <w:szCs w:val="18"/>
                    </w:rPr>
                    <w:t>生产负荷≥75％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65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sz w:val="18"/>
                      <w:szCs w:val="18"/>
                      <w:lang w:val="en-US" w:eastAsia="zh-CN"/>
                    </w:rPr>
                  </w:pPr>
                  <w:r>
                    <w:rPr>
                      <w:rFonts w:hint="eastAsia" w:ascii="宋体" w:hAnsi="宋体"/>
                      <w:sz w:val="18"/>
                      <w:szCs w:val="18"/>
                      <w:lang w:val="en-US" w:eastAsia="zh-CN"/>
                    </w:rPr>
                    <w:t>G2</w:t>
                  </w:r>
                </w:p>
              </w:tc>
              <w:tc>
                <w:tcPr>
                  <w:tcW w:w="148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sz w:val="18"/>
                      <w:szCs w:val="18"/>
                      <w:lang w:val="en-US" w:eastAsia="zh-CN"/>
                    </w:rPr>
                  </w:pPr>
                  <w:r>
                    <w:rPr>
                      <w:rFonts w:hint="eastAsia" w:ascii="宋体" w:hAnsi="宋体"/>
                      <w:sz w:val="18"/>
                      <w:szCs w:val="18"/>
                      <w:lang w:val="en-US" w:eastAsia="zh-CN"/>
                    </w:rPr>
                    <w:t>厂界无组织</w:t>
                  </w:r>
                </w:p>
              </w:tc>
              <w:tc>
                <w:tcPr>
                  <w:tcW w:w="102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Chars="-51" w:hanging="91" w:hangingChars="51"/>
                    <w:jc w:val="center"/>
                    <w:textAlignment w:val="auto"/>
                    <w:outlineLvl w:val="9"/>
                    <w:rPr>
                      <w:rFonts w:hint="eastAsia" w:ascii="宋体" w:hAnsi="宋体" w:eastAsia="宋体"/>
                      <w:sz w:val="18"/>
                      <w:szCs w:val="18"/>
                      <w:lang w:val="en-US" w:eastAsia="zh-CN"/>
                    </w:rPr>
                  </w:pPr>
                  <w:r>
                    <w:rPr>
                      <w:rFonts w:hint="eastAsia" w:ascii="宋体" w:hAnsi="宋体"/>
                      <w:sz w:val="18"/>
                      <w:szCs w:val="18"/>
                      <w:lang w:val="en-US" w:eastAsia="zh-CN"/>
                    </w:rPr>
                    <w:t>颗粒物</w:t>
                  </w:r>
                </w:p>
              </w:tc>
              <w:tc>
                <w:tcPr>
                  <w:tcW w:w="225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sz w:val="18"/>
                      <w:szCs w:val="18"/>
                      <w:lang w:val="en-US" w:eastAsia="zh-CN"/>
                    </w:rPr>
                  </w:pPr>
                  <w:r>
                    <w:rPr>
                      <w:rFonts w:hint="eastAsia" w:ascii="宋体" w:hAnsi="宋体"/>
                      <w:sz w:val="18"/>
                      <w:szCs w:val="18"/>
                      <w:lang w:val="en-US" w:eastAsia="zh-CN"/>
                    </w:rPr>
                    <w:t>上风向1个参照点，下风向4个监控点</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sz w:val="18"/>
                      <w:szCs w:val="18"/>
                    </w:rPr>
                  </w:pPr>
                  <w:r>
                    <w:rPr>
                      <w:rFonts w:hint="eastAsia"/>
                      <w:sz w:val="18"/>
                      <w:szCs w:val="18"/>
                    </w:rPr>
                    <w:t>连续2天，每天3次</w:t>
                  </w:r>
                </w:p>
              </w:tc>
              <w:tc>
                <w:tcPr>
                  <w:tcW w:w="14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110" w:leftChars="-50" w:right="-110" w:rightChars="-50"/>
                    <w:jc w:val="center"/>
                    <w:textAlignment w:val="auto"/>
                    <w:outlineLvl w:val="9"/>
                    <w:rPr>
                      <w:rFonts w:hint="eastAsia"/>
                      <w:sz w:val="18"/>
                      <w:szCs w:val="18"/>
                    </w:rPr>
                  </w:pPr>
                </w:p>
              </w:tc>
            </w:tr>
          </w:tbl>
          <w:p>
            <w:pPr>
              <w:spacing w:before="62" w:beforeLines="20" w:line="360" w:lineRule="auto"/>
              <w:rPr>
                <w:rFonts w:hint="eastAsia" w:eastAsia="仿宋_GB2312"/>
                <w:color w:val="000000"/>
                <w:sz w:val="21"/>
                <w:szCs w:val="21"/>
              </w:rPr>
            </w:pPr>
          </w:p>
          <w:p>
            <w:pPr>
              <w:numPr>
                <w:ilvl w:val="0"/>
                <w:numId w:val="9"/>
              </w:numPr>
              <w:spacing w:before="62" w:beforeLines="20" w:line="360" w:lineRule="auto"/>
              <w:ind w:left="420" w:leftChars="0" w:firstLine="0" w:firstLineChars="0"/>
              <w:jc w:val="left"/>
              <w:rPr>
                <w:rFonts w:hint="eastAsia"/>
                <w:lang w:val="en-US" w:eastAsia="zh-CN"/>
              </w:rPr>
            </w:pPr>
            <w:r>
              <w:rPr>
                <w:rFonts w:hint="eastAsia" w:ascii="Times New Roman" w:hAnsi="Times New Roman" w:eastAsia="宋体" w:cs="Times New Roman"/>
                <w:kern w:val="2"/>
                <w:sz w:val="21"/>
                <w:szCs w:val="21"/>
                <w:lang w:val="en-US" w:eastAsia="zh-CN" w:bidi="ar-SA"/>
              </w:rPr>
              <w:t>热风炉废气测点示意图</w:t>
            </w:r>
          </w:p>
          <w:p>
            <w:pPr>
              <w:numPr>
                <w:ilvl w:val="0"/>
                <w:numId w:val="0"/>
              </w:numPr>
              <w:spacing w:before="62" w:beforeLines="20" w:line="360" w:lineRule="auto"/>
              <w:ind w:left="420" w:leftChars="0"/>
              <w:jc w:val="center"/>
              <w:rPr>
                <w:rFonts w:hint="eastAsia"/>
                <w:lang w:val="en-US" w:eastAsia="zh-CN"/>
              </w:rPr>
            </w:pPr>
            <w:r>
              <w:rPr>
                <w:sz w:val="28"/>
              </w:rPr>
              <w:drawing>
                <wp:inline distT="0" distB="0" distL="114300" distR="114300">
                  <wp:extent cx="7735570" cy="3416300"/>
                  <wp:effectExtent l="0" t="0" r="12700" b="17780"/>
                  <wp:docPr id="1" name="图片 1" descr="6e456b02056ef15adaa04f0e26ae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e456b02056ef15adaa04f0e26ae42a"/>
                          <pic:cNvPicPr>
                            <a:picLocks noChangeAspect="1"/>
                          </pic:cNvPicPr>
                        </pic:nvPicPr>
                        <pic:blipFill>
                          <a:blip r:embed="rId30"/>
                          <a:stretch>
                            <a:fillRect/>
                          </a:stretch>
                        </pic:blipFill>
                        <pic:spPr>
                          <a:xfrm rot="16200000">
                            <a:off x="0" y="0"/>
                            <a:ext cx="7735570" cy="3416300"/>
                          </a:xfrm>
                          <a:prstGeom prst="rect">
                            <a:avLst/>
                          </a:prstGeom>
                          <a:noFill/>
                          <a:ln w="9525">
                            <a:noFill/>
                          </a:ln>
                        </pic:spPr>
                      </pic:pic>
                    </a:graphicData>
                  </a:graphic>
                </wp:inline>
              </w:drawing>
            </w:r>
          </w:p>
          <w:p>
            <w:pPr>
              <w:pStyle w:val="2"/>
              <w:ind w:left="0" w:leftChars="0"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图6-2  热风炉废气测点示意图</w:t>
            </w:r>
          </w:p>
          <w:p>
            <w:pPr>
              <w:pStyle w:val="2"/>
              <w:numPr>
                <w:ilvl w:val="0"/>
                <w:numId w:val="9"/>
              </w:numPr>
              <w:ind w:left="420" w:leftChars="0" w:firstLine="0" w:firstLineChars="0"/>
              <w:rPr>
                <w:rFonts w:hint="eastAsia" w:eastAsia="仿宋_GB2312"/>
                <w:color w:val="000000"/>
                <w:sz w:val="21"/>
                <w:szCs w:val="21"/>
              </w:rPr>
            </w:pPr>
            <w:r>
              <w:rPr>
                <w:rFonts w:hint="eastAsia"/>
                <w:lang w:val="en-US" w:eastAsia="zh-CN"/>
              </w:rPr>
              <w:t>厂界无组织颗粒物测点示意图</w:t>
            </w:r>
          </w:p>
          <w:p>
            <w:pPr>
              <w:pStyle w:val="2"/>
              <w:numPr>
                <w:ilvl w:val="0"/>
                <w:numId w:val="0"/>
              </w:numPr>
              <w:jc w:val="center"/>
              <w:rPr>
                <w:rFonts w:hint="eastAsia" w:eastAsia="仿宋_GB2312"/>
                <w:color w:val="000000"/>
                <w:sz w:val="21"/>
                <w:szCs w:val="21"/>
              </w:rPr>
            </w:pPr>
            <w:r>
              <w:drawing>
                <wp:inline distT="0" distB="0" distL="114300" distR="114300">
                  <wp:extent cx="4662170" cy="3390265"/>
                  <wp:effectExtent l="9525" t="9525" r="1460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4662170" cy="3390265"/>
                          </a:xfrm>
                          <a:prstGeom prst="rect">
                            <a:avLst/>
                          </a:prstGeom>
                          <a:noFill/>
                          <a:ln w="9525">
                            <a:solidFill>
                              <a:schemeClr val="tx1"/>
                            </a:solidFill>
                          </a:ln>
                        </pic:spPr>
                      </pic:pic>
                    </a:graphicData>
                  </a:graphic>
                </wp:inline>
              </w:drawing>
            </w:r>
          </w:p>
          <w:p>
            <w:pPr>
              <w:pStyle w:val="2"/>
              <w:ind w:left="0" w:leftChars="0" w:firstLine="440" w:firstLineChars="200"/>
              <w:rPr>
                <w:rFonts w:hint="eastAsia" w:eastAsia="宋体"/>
                <w:lang w:val="en-US" w:eastAsia="zh-CN"/>
              </w:rPr>
            </w:pPr>
            <w:r>
              <w:rPr>
                <w:rFonts w:hint="eastAsia"/>
                <w:lang w:eastAsia="zh-CN"/>
              </w:rPr>
              <w:t>备注：</w:t>
            </w:r>
            <w:r>
              <w:rPr>
                <w:rFonts w:hint="eastAsia"/>
                <w:lang w:val="en-US" w:eastAsia="zh-CN"/>
              </w:rPr>
              <w:t>1#为对照的，2#、3#、4#为监控点。</w:t>
            </w:r>
          </w:p>
          <w:p>
            <w:pPr>
              <w:pStyle w:val="2"/>
              <w:ind w:left="0" w:leftChars="0"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图6-3  厂界无组织颗粒物测点示意图（8月4日）</w:t>
            </w:r>
          </w:p>
          <w:p>
            <w:pPr>
              <w:spacing w:before="62" w:beforeLines="20" w:line="360" w:lineRule="auto"/>
              <w:jc w:val="center"/>
            </w:pPr>
            <w:r>
              <w:drawing>
                <wp:inline distT="0" distB="0" distL="114300" distR="114300">
                  <wp:extent cx="4800600" cy="3343275"/>
                  <wp:effectExtent l="9525" t="9525" r="9525" b="190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2"/>
                          <a:stretch>
                            <a:fillRect/>
                          </a:stretch>
                        </pic:blipFill>
                        <pic:spPr>
                          <a:xfrm>
                            <a:off x="0" y="0"/>
                            <a:ext cx="4800600" cy="3343275"/>
                          </a:xfrm>
                          <a:prstGeom prst="rect">
                            <a:avLst/>
                          </a:prstGeom>
                          <a:noFill/>
                          <a:ln w="9525">
                            <a:solidFill>
                              <a:schemeClr val="tx1"/>
                            </a:solidFill>
                          </a:ln>
                        </pic:spPr>
                      </pic:pic>
                    </a:graphicData>
                  </a:graphic>
                </wp:inline>
              </w:drawing>
            </w:r>
          </w:p>
          <w:p>
            <w:pPr>
              <w:pStyle w:val="2"/>
              <w:ind w:left="0" w:leftChars="0" w:firstLine="440" w:firstLineChars="200"/>
              <w:rPr>
                <w:rFonts w:hint="eastAsia"/>
                <w:lang w:val="en-US" w:eastAsia="zh-CN"/>
              </w:rPr>
            </w:pPr>
            <w:r>
              <w:rPr>
                <w:rFonts w:hint="eastAsia"/>
                <w:lang w:eastAsia="zh-CN"/>
              </w:rPr>
              <w:t>备注：</w:t>
            </w:r>
            <w:r>
              <w:rPr>
                <w:rFonts w:hint="eastAsia"/>
                <w:lang w:val="en-US" w:eastAsia="zh-CN"/>
              </w:rPr>
              <w:t>1#为对照的，2#、3#、4#为监控点。</w:t>
            </w:r>
          </w:p>
          <w:p>
            <w:pPr>
              <w:pStyle w:val="2"/>
              <w:ind w:left="0" w:leftChars="0" w:firstLine="0" w:firstLineChars="0"/>
              <w:jc w:val="center"/>
              <w:rPr>
                <w:rFonts w:hint="eastAsia" w:eastAsia="仿宋_GB2312"/>
                <w:color w:val="000000"/>
                <w:sz w:val="21"/>
                <w:szCs w:val="21"/>
              </w:rPr>
            </w:pPr>
            <w:r>
              <w:rPr>
                <w:rFonts w:hint="eastAsia" w:ascii="宋体" w:hAnsi="宋体" w:eastAsia="宋体" w:cs="宋体"/>
                <w:b/>
                <w:bCs/>
                <w:sz w:val="21"/>
                <w:szCs w:val="21"/>
                <w:lang w:val="en-US" w:eastAsia="zh-CN"/>
              </w:rPr>
              <w:t>图6-3  厂界无组织颗粒物测点示意图（8月</w:t>
            </w:r>
            <w:r>
              <w:rPr>
                <w:rFonts w:hint="eastAsia" w:ascii="宋体" w:hAnsi="宋体" w:cs="宋体"/>
                <w:b/>
                <w:bCs/>
                <w:sz w:val="21"/>
                <w:szCs w:val="21"/>
                <w:lang w:val="en-US" w:eastAsia="zh-CN"/>
              </w:rPr>
              <w:t>5</w:t>
            </w:r>
            <w:r>
              <w:rPr>
                <w:rFonts w:hint="eastAsia" w:ascii="宋体" w:hAnsi="宋体" w:eastAsia="宋体" w:cs="宋体"/>
                <w:b/>
                <w:bCs/>
                <w:sz w:val="21"/>
                <w:szCs w:val="21"/>
                <w:lang w:val="en-US" w:eastAsia="zh-CN"/>
              </w:rPr>
              <w:t>日）</w:t>
            </w:r>
          </w:p>
        </w:tc>
      </w:tr>
    </w:tbl>
    <w:p>
      <w:pPr>
        <w:spacing w:after="0" w:afterLines="0" w:line="360" w:lineRule="auto"/>
        <w:rPr>
          <w:rFonts w:eastAsia="仿宋_GB2312"/>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七</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5" w:hRule="atLeast"/>
          <w:jc w:val="center"/>
        </w:trPr>
        <w:tc>
          <w:tcPr>
            <w:tcW w:w="8924" w:type="dxa"/>
            <w:vAlign w:val="top"/>
          </w:tcPr>
          <w:p>
            <w:pPr>
              <w:spacing w:before="62" w:beforeLines="20" w:line="360" w:lineRule="auto"/>
              <w:rPr>
                <w:rFonts w:hint="eastAsia" w:ascii="宋体" w:hAnsi="宋体" w:eastAsia="宋体"/>
                <w:color w:val="000000"/>
                <w:sz w:val="21"/>
                <w:szCs w:val="21"/>
              </w:rPr>
            </w:pPr>
            <w:r>
              <w:rPr>
                <w:rFonts w:hint="eastAsia" w:ascii="宋体" w:hAnsi="宋体" w:eastAsia="宋体"/>
                <w:color w:val="000000"/>
                <w:sz w:val="21"/>
                <w:szCs w:val="21"/>
              </w:rPr>
              <w:t>验收监测期间生产工况记录：</w:t>
            </w:r>
          </w:p>
          <w:p>
            <w:pPr>
              <w:pStyle w:val="2"/>
              <w:spacing w:line="360" w:lineRule="auto"/>
              <w:rPr>
                <w:rFonts w:hint="eastAsia" w:ascii="Times New Roman" w:hAnsi="Times New Roman" w:cs="Times New Roman"/>
                <w:sz w:val="21"/>
                <w:szCs w:val="21"/>
                <w:lang w:eastAsia="zh-CN"/>
              </w:rPr>
            </w:pPr>
            <w:r>
              <w:rPr>
                <w:rFonts w:hint="default" w:ascii="Times New Roman" w:hAnsi="Times New Roman" w:eastAsia="宋体" w:cs="Times New Roman"/>
                <w:sz w:val="21"/>
                <w:szCs w:val="21"/>
              </w:rPr>
              <w:t>监测期间</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2018年8月4日——8月5日</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，该企业生产正常，设施运行稳定，生产负荷达到75%以上，满足验收监测技术规范要求</w:t>
            </w:r>
            <w:r>
              <w:rPr>
                <w:rFonts w:hint="eastAsia" w:ascii="Times New Roman" w:hAnsi="Times New Roman" w:cs="Times New Roman"/>
                <w:sz w:val="21"/>
                <w:szCs w:val="21"/>
                <w:lang w:eastAsia="zh-CN"/>
              </w:rPr>
              <w:t>：</w:t>
            </w:r>
          </w:p>
          <w:tbl>
            <w:tblPr>
              <w:tblStyle w:val="11"/>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965"/>
              <w:gridCol w:w="1875"/>
              <w:gridCol w:w="2294"/>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eastAsia="zh-CN"/>
                    </w:rPr>
                  </w:pPr>
                  <w:r>
                    <w:rPr>
                      <w:rFonts w:hint="eastAsia" w:ascii="Times New Roman" w:hAnsi="Times New Roman" w:cs="Times New Roman"/>
                      <w:kern w:val="0"/>
                      <w:sz w:val="21"/>
                      <w:szCs w:val="21"/>
                      <w:vertAlign w:val="baseline"/>
                      <w:lang w:eastAsia="zh-CN"/>
                    </w:rPr>
                    <w:t>序号</w:t>
                  </w:r>
                </w:p>
              </w:tc>
              <w:tc>
                <w:tcPr>
                  <w:tcW w:w="1965"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eastAsia="zh-CN"/>
                    </w:rPr>
                  </w:pPr>
                  <w:r>
                    <w:rPr>
                      <w:rFonts w:hint="eastAsia" w:ascii="Times New Roman" w:hAnsi="Times New Roman" w:cs="Times New Roman"/>
                      <w:kern w:val="0"/>
                      <w:sz w:val="21"/>
                      <w:szCs w:val="21"/>
                      <w:vertAlign w:val="baseline"/>
                      <w:lang w:eastAsia="zh-CN"/>
                    </w:rPr>
                    <w:t>日期</w:t>
                  </w:r>
                </w:p>
              </w:tc>
              <w:tc>
                <w:tcPr>
                  <w:tcW w:w="1875"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eastAsia="zh-CN"/>
                    </w:rPr>
                  </w:pPr>
                  <w:r>
                    <w:rPr>
                      <w:rFonts w:hint="eastAsia" w:ascii="Times New Roman" w:hAnsi="Times New Roman" w:cs="Times New Roman"/>
                      <w:kern w:val="0"/>
                      <w:sz w:val="21"/>
                      <w:szCs w:val="21"/>
                      <w:vertAlign w:val="baseline"/>
                      <w:lang w:eastAsia="zh-CN"/>
                    </w:rPr>
                    <w:t>设计烘干煤泥量</w:t>
                  </w:r>
                </w:p>
              </w:tc>
              <w:tc>
                <w:tcPr>
                  <w:tcW w:w="2294"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eastAsia="zh-CN"/>
                    </w:rPr>
                  </w:pPr>
                  <w:r>
                    <w:rPr>
                      <w:rFonts w:hint="eastAsia" w:ascii="Times New Roman" w:hAnsi="Times New Roman" w:cs="Times New Roman"/>
                      <w:kern w:val="0"/>
                      <w:sz w:val="21"/>
                      <w:szCs w:val="21"/>
                      <w:vertAlign w:val="baseline"/>
                      <w:lang w:eastAsia="zh-CN"/>
                    </w:rPr>
                    <w:t>实际烘干煤泥量</w:t>
                  </w:r>
                </w:p>
              </w:tc>
              <w:tc>
                <w:tcPr>
                  <w:tcW w:w="1742"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eastAsia="zh-CN"/>
                    </w:rPr>
                  </w:pPr>
                  <w:r>
                    <w:rPr>
                      <w:rFonts w:hint="eastAsia" w:ascii="Times New Roman" w:hAnsi="Times New Roman" w:cs="Times New Roman"/>
                      <w:kern w:val="0"/>
                      <w:sz w:val="21"/>
                      <w:szCs w:val="21"/>
                      <w:vertAlign w:val="baseline"/>
                      <w:lang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1</w:t>
                  </w:r>
                </w:p>
              </w:tc>
              <w:tc>
                <w:tcPr>
                  <w:tcW w:w="1965"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2018年8月4日</w:t>
                  </w:r>
                </w:p>
              </w:tc>
              <w:tc>
                <w:tcPr>
                  <w:tcW w:w="1875" w:type="dxa"/>
                  <w:vMerge w:val="restart"/>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87.6t/d</w:t>
                  </w:r>
                </w:p>
              </w:tc>
              <w:tc>
                <w:tcPr>
                  <w:tcW w:w="2294"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70t</w:t>
                  </w:r>
                </w:p>
              </w:tc>
              <w:tc>
                <w:tcPr>
                  <w:tcW w:w="1742"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2"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2</w:t>
                  </w:r>
                </w:p>
              </w:tc>
              <w:tc>
                <w:tcPr>
                  <w:tcW w:w="1965"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2018年8月5日</w:t>
                  </w:r>
                </w:p>
              </w:tc>
              <w:tc>
                <w:tcPr>
                  <w:tcW w:w="1875" w:type="dxa"/>
                  <w:vMerge w:val="continue"/>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eastAsia="zh-CN"/>
                    </w:rPr>
                  </w:pPr>
                </w:p>
              </w:tc>
              <w:tc>
                <w:tcPr>
                  <w:tcW w:w="2294"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75t</w:t>
                  </w:r>
                </w:p>
              </w:tc>
              <w:tc>
                <w:tcPr>
                  <w:tcW w:w="1742" w:type="dxa"/>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85%</w:t>
                  </w:r>
                </w:p>
              </w:tc>
            </w:tr>
          </w:tbl>
          <w:p>
            <w:pPr>
              <w:spacing w:before="62" w:beforeLines="20" w:line="360" w:lineRule="auto"/>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7" w:hRule="atLeast"/>
          <w:jc w:val="center"/>
        </w:trPr>
        <w:tc>
          <w:tcPr>
            <w:tcW w:w="8924" w:type="dxa"/>
            <w:vAlign w:val="top"/>
          </w:tcPr>
          <w:p>
            <w:pPr>
              <w:spacing w:before="62" w:beforeLines="20" w:line="240" w:lineRule="auto"/>
              <w:rPr>
                <w:rFonts w:hint="eastAsia" w:ascii="宋体" w:hAnsi="宋体" w:eastAsia="宋体"/>
                <w:color w:val="000000"/>
                <w:sz w:val="21"/>
                <w:szCs w:val="21"/>
              </w:rPr>
            </w:pPr>
            <w:r>
              <w:rPr>
                <w:rFonts w:hint="eastAsia" w:ascii="宋体" w:hAnsi="宋体" w:eastAsia="宋体"/>
                <w:color w:val="000000"/>
                <w:sz w:val="21"/>
                <w:szCs w:val="21"/>
              </w:rPr>
              <w:t>验收监测结果：</w:t>
            </w:r>
          </w:p>
          <w:p>
            <w:pPr>
              <w:pStyle w:val="2"/>
              <w:numPr>
                <w:ilvl w:val="0"/>
                <w:numId w:val="10"/>
              </w:numPr>
              <w:ind w:left="0" w:leftChars="0" w:firstLine="0" w:firstLineChars="0"/>
              <w:rPr>
                <w:rFonts w:hint="eastAsia" w:ascii="宋体" w:hAnsi="宋体"/>
                <w:color w:val="000000"/>
                <w:sz w:val="21"/>
                <w:szCs w:val="21"/>
                <w:lang w:val="en-US" w:eastAsia="zh-CN"/>
              </w:rPr>
            </w:pPr>
            <w:r>
              <w:rPr>
                <w:rFonts w:hint="eastAsia" w:ascii="宋体" w:hAnsi="宋体"/>
                <w:color w:val="000000"/>
                <w:sz w:val="21"/>
                <w:szCs w:val="21"/>
                <w:lang w:val="en-US" w:eastAsia="zh-CN"/>
              </w:rPr>
              <w:t>厂界噪声</w:t>
            </w:r>
          </w:p>
          <w:tbl>
            <w:tblPr>
              <w:tblStyle w:val="10"/>
              <w:tblpPr w:leftFromText="180" w:rightFromText="180" w:vertAnchor="text" w:horzAnchor="page" w:tblpX="181" w:tblpY="217"/>
              <w:tblOverlap w:val="never"/>
              <w:tblW w:w="864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9"/>
              <w:gridCol w:w="655"/>
              <w:gridCol w:w="1785"/>
              <w:gridCol w:w="720"/>
              <w:gridCol w:w="600"/>
              <w:gridCol w:w="600"/>
              <w:gridCol w:w="704"/>
              <w:gridCol w:w="795"/>
              <w:gridCol w:w="615"/>
              <w:gridCol w:w="735"/>
              <w:gridCol w:w="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74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ascii="仿宋_GB2312" w:hAnsi="华文中宋" w:eastAsia="仿宋_GB2312"/>
                      <w:b/>
                      <w:bCs/>
                      <w:sz w:val="18"/>
                      <w:szCs w:val="18"/>
                      <w:lang w:val="en-US" w:eastAsia="zh-CN"/>
                    </w:rPr>
                  </w:pPr>
                  <w:r>
                    <w:rPr>
                      <w:rFonts w:hint="eastAsia" w:ascii="仿宋_GB2312" w:hAnsi="华文中宋" w:eastAsia="仿宋_GB2312"/>
                      <w:b/>
                      <w:bCs/>
                      <w:sz w:val="18"/>
                      <w:szCs w:val="18"/>
                      <w:lang w:val="en-US" w:eastAsia="zh-CN"/>
                    </w:rPr>
                    <w:t>监测时间</w:t>
                  </w: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ascii="仿宋_GB2312" w:hAnsi="华文中宋" w:eastAsia="仿宋_GB2312"/>
                      <w:b/>
                      <w:bCs/>
                      <w:sz w:val="18"/>
                      <w:szCs w:val="18"/>
                      <w:lang w:val="en-US" w:eastAsia="zh-CN"/>
                    </w:rPr>
                  </w:pPr>
                  <w:r>
                    <w:rPr>
                      <w:rFonts w:hint="eastAsia" w:ascii="仿宋_GB2312" w:hAnsi="华文中宋" w:eastAsia="仿宋_GB2312"/>
                      <w:b/>
                      <w:bCs/>
                      <w:sz w:val="18"/>
                      <w:szCs w:val="18"/>
                      <w:lang w:val="en-US" w:eastAsia="zh-CN"/>
                    </w:rPr>
                    <w:t>测点</w:t>
                  </w:r>
                </w:p>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ascii="仿宋_GB2312" w:hAnsi="华文中宋" w:eastAsia="仿宋_GB2312"/>
                      <w:b/>
                      <w:bCs/>
                      <w:sz w:val="18"/>
                      <w:szCs w:val="18"/>
                      <w:lang w:val="en-US" w:eastAsia="zh-CN"/>
                    </w:rPr>
                    <w:t>编号</w:t>
                  </w:r>
                </w:p>
              </w:tc>
              <w:tc>
                <w:tcPr>
                  <w:tcW w:w="178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ascii="仿宋_GB2312" w:hAnsi="华文中宋" w:eastAsia="仿宋_GB2312"/>
                      <w:b/>
                      <w:bCs/>
                      <w:sz w:val="18"/>
                      <w:szCs w:val="18"/>
                      <w:lang w:val="en-US" w:eastAsia="zh-CN"/>
                    </w:rPr>
                    <w:t>样品编号</w:t>
                  </w:r>
                </w:p>
              </w:tc>
              <w:tc>
                <w:tcPr>
                  <w:tcW w:w="720"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ascii="仿宋_GB2312" w:hAnsi="华文中宋" w:eastAsia="仿宋_GB2312"/>
                      <w:b/>
                      <w:bCs/>
                      <w:sz w:val="18"/>
                      <w:szCs w:val="18"/>
                      <w:lang w:val="en-US" w:eastAsia="zh-CN"/>
                    </w:rPr>
                  </w:pPr>
                  <w:r>
                    <w:rPr>
                      <w:rFonts w:hint="eastAsia" w:ascii="仿宋_GB2312" w:hAnsi="华文中宋" w:eastAsia="仿宋_GB2312"/>
                      <w:b/>
                      <w:bCs/>
                      <w:sz w:val="18"/>
                      <w:szCs w:val="18"/>
                      <w:lang w:val="en-US" w:eastAsia="zh-CN"/>
                    </w:rPr>
                    <w:t>监测</w:t>
                  </w:r>
                </w:p>
                <w:p>
                  <w:pPr>
                    <w:keepNext w:val="0"/>
                    <w:keepLines w:val="0"/>
                    <w:pageBreakBefore w:val="0"/>
                    <w:kinsoku/>
                    <w:wordWrap/>
                    <w:overflowPunct/>
                    <w:topLinePunct w:val="0"/>
                    <w:autoSpaceDE/>
                    <w:autoSpaceDN/>
                    <w:bidi w:val="0"/>
                    <w:spacing w:after="0"/>
                    <w:jc w:val="center"/>
                    <w:textAlignment w:val="auto"/>
                    <w:rPr>
                      <w:rFonts w:hint="eastAsia"/>
                      <w:sz w:val="18"/>
                      <w:szCs w:val="18"/>
                      <w:lang w:val="en-US" w:eastAsia="zh-CN"/>
                    </w:rPr>
                  </w:pPr>
                  <w:r>
                    <w:rPr>
                      <w:rFonts w:hint="eastAsia" w:ascii="仿宋_GB2312" w:hAnsi="华文中宋" w:eastAsia="仿宋_GB2312"/>
                      <w:b/>
                      <w:bCs/>
                      <w:sz w:val="18"/>
                      <w:szCs w:val="18"/>
                      <w:lang w:val="en-US" w:eastAsia="zh-CN"/>
                    </w:rPr>
                    <w:t>时段</w:t>
                  </w:r>
                </w:p>
              </w:tc>
              <w:tc>
                <w:tcPr>
                  <w:tcW w:w="4738" w:type="dxa"/>
                  <w:gridSpan w:val="7"/>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ascii="仿宋_GB2312" w:hAnsi="华文中宋" w:eastAsia="仿宋_GB2312"/>
                      <w:b/>
                      <w:bCs/>
                      <w:sz w:val="18"/>
                      <w:szCs w:val="18"/>
                      <w:lang w:val="en-US" w:eastAsia="zh-CN"/>
                    </w:rPr>
                  </w:pPr>
                  <w:r>
                    <w:rPr>
                      <w:rFonts w:hint="eastAsia" w:ascii="仿宋_GB2312" w:hAnsi="华文中宋" w:eastAsia="仿宋_GB2312"/>
                      <w:b/>
                      <w:bCs/>
                      <w:sz w:val="18"/>
                      <w:szCs w:val="18"/>
                      <w:lang w:val="en-US" w:eastAsia="zh-CN"/>
                    </w:rPr>
                    <w:t>监  测  结  果     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p>
              </w:tc>
              <w:tc>
                <w:tcPr>
                  <w:tcW w:w="178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p>
              </w:tc>
              <w:tc>
                <w:tcPr>
                  <w:tcW w:w="720"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sz w:val="18"/>
                      <w:szCs w:val="18"/>
                      <w:lang w:val="en-US" w:eastAsia="zh-CN"/>
                    </w:rPr>
                    <w:t>Leq</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sz w:val="18"/>
                      <w:szCs w:val="18"/>
                      <w:lang w:val="en-US" w:eastAsia="zh-CN"/>
                    </w:rPr>
                    <w:t>L10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sz w:val="18"/>
                      <w:szCs w:val="18"/>
                      <w:lang w:val="en-US" w:eastAsia="zh-CN"/>
                    </w:rPr>
                    <w:t>L50</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sz w:val="18"/>
                      <w:szCs w:val="18"/>
                      <w:lang w:val="en-US" w:eastAsia="zh-CN"/>
                    </w:rPr>
                    <w:t>L90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sz w:val="18"/>
                      <w:szCs w:val="18"/>
                      <w:lang w:val="en-US" w:eastAsia="zh-CN"/>
                    </w:rPr>
                    <w:t>SD</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sz w:val="18"/>
                      <w:szCs w:val="18"/>
                      <w:lang w:val="en-US" w:eastAsia="zh-CN"/>
                    </w:rPr>
                    <w:t>标准值</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lang w:val="en-US" w:eastAsia="zh-CN"/>
                    </w:rPr>
                  </w:pPr>
                  <w:r>
                    <w:rPr>
                      <w:rFonts w:hint="eastAsia"/>
                      <w:sz w:val="18"/>
                      <w:szCs w:val="18"/>
                      <w:lang w:val="en-US" w:eastAsia="zh-CN"/>
                    </w:rPr>
                    <w:t>达标</w:t>
                  </w:r>
                </w:p>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sz w:val="18"/>
                      <w:szCs w:val="18"/>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2018.</w:t>
                  </w:r>
                </w:p>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08.04</w:t>
                  </w: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1#</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HC2018080411001</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59.7</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61.0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59.6</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58.2</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1.0</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HC2018080422001</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49.7</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52.2</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48.4</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46.0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2.4</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2#</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rPr>
                  </w:pPr>
                  <w:r>
                    <w:rPr>
                      <w:rFonts w:hint="eastAsia" w:eastAsia="宋体"/>
                      <w:sz w:val="18"/>
                      <w:szCs w:val="18"/>
                      <w:lang w:val="en-US" w:eastAsia="zh-CN"/>
                    </w:rPr>
                    <w:t>HC2018080411002</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58.9</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61.0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58.4</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56.2</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1.9</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rPr>
                  </w:pPr>
                  <w:r>
                    <w:rPr>
                      <w:rFonts w:hint="eastAsia" w:eastAsia="宋体"/>
                      <w:sz w:val="18"/>
                      <w:szCs w:val="18"/>
                      <w:lang w:val="en-US" w:eastAsia="zh-CN"/>
                    </w:rPr>
                    <w:t>HC2018080422002</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49.1</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51.2</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48.4</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46.4</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1.8</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3#</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rPr>
                  </w:pPr>
                  <w:r>
                    <w:rPr>
                      <w:rFonts w:hint="eastAsia" w:eastAsia="宋体"/>
                      <w:sz w:val="18"/>
                      <w:szCs w:val="18"/>
                      <w:lang w:val="en-US" w:eastAsia="zh-CN"/>
                    </w:rPr>
                    <w:t>HC2018080411003</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59.0</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60.0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58.4</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57.0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1.4</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eastAsia="宋体"/>
                      <w:sz w:val="18"/>
                      <w:szCs w:val="18"/>
                      <w:lang w:val="en-US" w:eastAsia="zh-CN"/>
                    </w:rPr>
                    <w:t>HC2018080422003</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sz w:val="18"/>
                      <w:szCs w:val="18"/>
                      <w:lang w:val="en-US" w:eastAsia="zh-CN"/>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48.7</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50.8</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48.0</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46.0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1.8</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val="0"/>
                      <w:bCs w:val="0"/>
                      <w:sz w:val="18"/>
                      <w:szCs w:val="18"/>
                      <w:lang w:val="en-US" w:eastAsia="zh-CN"/>
                    </w:rPr>
                  </w:pP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4#</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eastAsia="宋体"/>
                      <w:sz w:val="18"/>
                      <w:szCs w:val="18"/>
                      <w:lang w:val="en-US" w:eastAsia="zh-CN"/>
                    </w:rPr>
                    <w:t>HC2018080411004</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57.0</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58.4</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56.6</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55.6</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1.1</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eastAsia="宋体"/>
                      <w:sz w:val="18"/>
                      <w:szCs w:val="18"/>
                      <w:lang w:val="en-US" w:eastAsia="zh-CN"/>
                    </w:rPr>
                    <w:t>HC2018080422004</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49.6</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51.8</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48.6</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46.4</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2.1</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备 注</w:t>
                  </w:r>
                </w:p>
              </w:tc>
              <w:tc>
                <w:tcPr>
                  <w:tcW w:w="7898"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生产负荷80%，设计值87.6t/d,实际值70t/d。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2018.</w:t>
                  </w:r>
                </w:p>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08.05</w:t>
                  </w: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1#</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HC2018080515001</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58.2</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60.6</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57.2</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55.8</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1.8</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HC2018080522001</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49.1</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51.0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48.2</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46.0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2.1</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2#</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HC2018080515002</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59.4</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61.0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59.0</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57.4</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1.4</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HC2018080522002</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48.4</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50.6</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47.6</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45.4</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2.0</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3#</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HC2018080515003</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59.4</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61.4</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59.0</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56.8</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1.8</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HC2018080522003</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48.7</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50.6</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48.0</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46.0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1.8</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restart"/>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4#</w:t>
                  </w: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HC2018080515004</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昼</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58.7</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60.0</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58.6</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57.2</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1.0</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60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655" w:type="dxa"/>
                  <w:vMerge w:val="continue"/>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p>
              </w:tc>
              <w:tc>
                <w:tcPr>
                  <w:tcW w:w="178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eastAsia="宋体"/>
                      <w:sz w:val="18"/>
                      <w:szCs w:val="18"/>
                      <w:lang w:val="en-US" w:eastAsia="zh-CN"/>
                    </w:rPr>
                  </w:pPr>
                  <w:r>
                    <w:rPr>
                      <w:rFonts w:hint="eastAsia" w:eastAsia="宋体"/>
                      <w:sz w:val="18"/>
                      <w:szCs w:val="18"/>
                      <w:lang w:val="en-US" w:eastAsia="zh-CN"/>
                    </w:rPr>
                    <w:t>HC2018080522004</w:t>
                  </w:r>
                </w:p>
              </w:tc>
              <w:tc>
                <w:tcPr>
                  <w:tcW w:w="720" w:type="dxa"/>
                  <w:tcBorders>
                    <w:tl2br w:val="nil"/>
                    <w:tr2bl w:val="nil"/>
                  </w:tcBorders>
                  <w:vAlign w:val="center"/>
                </w:tcPr>
                <w:p>
                  <w:pPr>
                    <w:keepNext w:val="0"/>
                    <w:keepLines w:val="0"/>
                    <w:pageBreakBefore w:val="0"/>
                    <w:kinsoku/>
                    <w:wordWrap/>
                    <w:overflowPunct/>
                    <w:topLinePunct w:val="0"/>
                    <w:autoSpaceDE/>
                    <w:autoSpaceDN/>
                    <w:bidi w:val="0"/>
                    <w:spacing w:after="0"/>
                    <w:jc w:val="center"/>
                    <w:textAlignment w:val="auto"/>
                    <w:rPr>
                      <w:rFonts w:hint="eastAsia" w:eastAsia="宋体"/>
                      <w:sz w:val="18"/>
                      <w:szCs w:val="18"/>
                      <w:lang w:val="en-US" w:eastAsia="zh-CN"/>
                    </w:rPr>
                  </w:pPr>
                  <w:r>
                    <w:rPr>
                      <w:rFonts w:hint="eastAsia" w:eastAsia="宋体"/>
                      <w:sz w:val="18"/>
                      <w:szCs w:val="18"/>
                      <w:lang w:val="en-US" w:eastAsia="zh-CN"/>
                    </w:rPr>
                    <w:t>夜</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49.7</w:t>
                  </w:r>
                </w:p>
              </w:tc>
              <w:tc>
                <w:tcPr>
                  <w:tcW w:w="600"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52.2</w:t>
                  </w:r>
                </w:p>
              </w:tc>
              <w:tc>
                <w:tcPr>
                  <w:tcW w:w="704"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48.2</w:t>
                  </w:r>
                </w:p>
              </w:tc>
              <w:tc>
                <w:tcPr>
                  <w:tcW w:w="79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46.0</w:t>
                  </w:r>
                </w:p>
              </w:tc>
              <w:tc>
                <w:tcPr>
                  <w:tcW w:w="61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sz w:val="18"/>
                      <w:szCs w:val="18"/>
                      <w:lang w:val="en-US" w:eastAsia="zh-CN"/>
                    </w:rPr>
                  </w:pPr>
                  <w:r>
                    <w:rPr>
                      <w:rFonts w:hint="eastAsia"/>
                      <w:sz w:val="18"/>
                      <w:szCs w:val="18"/>
                      <w:lang w:val="en-US" w:eastAsia="zh-CN"/>
                    </w:rPr>
                    <w:t>2.6</w:t>
                  </w:r>
                </w:p>
              </w:tc>
              <w:tc>
                <w:tcPr>
                  <w:tcW w:w="735"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50</w:t>
                  </w:r>
                </w:p>
              </w:tc>
              <w:tc>
                <w:tcPr>
                  <w:tcW w:w="689" w:type="dxa"/>
                  <w:tcBorders>
                    <w:tl2br w:val="nil"/>
                    <w:tr2bl w:val="nil"/>
                  </w:tcBorders>
                  <w:vAlign w:val="center"/>
                </w:tcPr>
                <w:p>
                  <w:pPr>
                    <w:keepNext w:val="0"/>
                    <w:keepLines w:val="0"/>
                    <w:pageBreakBefore w:val="0"/>
                    <w:kinsoku/>
                    <w:wordWrap/>
                    <w:overflowPunct/>
                    <w:topLinePunct w:val="0"/>
                    <w:autoSpaceDE/>
                    <w:autoSpaceDN/>
                    <w:bidi w:val="0"/>
                    <w:spacing w:after="0"/>
                    <w:ind w:left="235" w:leftChars="0" w:hanging="235" w:hangingChars="131"/>
                    <w:jc w:val="center"/>
                    <w:textAlignment w:val="auto"/>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val="0"/>
                      <w:bCs w:val="0"/>
                      <w:sz w:val="18"/>
                      <w:szCs w:val="18"/>
                      <w:lang w:val="en-US" w:eastAsia="zh-CN"/>
                    </w:rPr>
                  </w:pPr>
                  <w:r>
                    <w:rPr>
                      <w:rFonts w:hint="eastAsia" w:ascii="楷体_GB2312" w:eastAsia="楷体_GB2312"/>
                      <w:b w:val="0"/>
                      <w:bCs w:val="0"/>
                      <w:sz w:val="18"/>
                      <w:szCs w:val="18"/>
                      <w:lang w:val="en-US" w:eastAsia="zh-CN"/>
                    </w:rPr>
                    <w:t>备 注</w:t>
                  </w:r>
                </w:p>
              </w:tc>
              <w:tc>
                <w:tcPr>
                  <w:tcW w:w="7898"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outlineLvl w:val="9"/>
                    <w:rPr>
                      <w:rFonts w:hint="eastAsia" w:ascii="楷体_GB2312" w:eastAsia="楷体_GB2312"/>
                      <w:b/>
                      <w:bCs/>
                      <w:sz w:val="18"/>
                      <w:szCs w:val="18"/>
                      <w:lang w:val="en-US" w:eastAsia="zh-CN"/>
                    </w:rPr>
                  </w:pPr>
                  <w:r>
                    <w:rPr>
                      <w:rFonts w:hint="eastAsia" w:ascii="楷体_GB2312" w:eastAsia="楷体_GB2312"/>
                      <w:b w:val="0"/>
                      <w:bCs w:val="0"/>
                      <w:sz w:val="18"/>
                      <w:szCs w:val="18"/>
                      <w:lang w:val="en-US" w:eastAsia="zh-CN"/>
                    </w:rPr>
                    <w:t>生产负荷85%，设计值87.6t/d,实际值75t/d。</w:t>
                  </w:r>
                </w:p>
              </w:tc>
            </w:tr>
          </w:tbl>
          <w:p>
            <w:pPr>
              <w:pStyle w:val="2"/>
              <w:numPr>
                <w:ilvl w:val="0"/>
                <w:numId w:val="0"/>
              </w:numPr>
              <w:ind w:leftChars="0"/>
              <w:rPr>
                <w:rFonts w:hint="eastAsia" w:ascii="宋体" w:hAnsi="宋体"/>
                <w:color w:val="000000"/>
                <w:sz w:val="21"/>
                <w:szCs w:val="21"/>
                <w:lang w:val="en-US" w:eastAsia="zh-CN"/>
              </w:rPr>
            </w:pPr>
          </w:p>
          <w:p>
            <w:pPr>
              <w:pStyle w:val="2"/>
              <w:numPr>
                <w:ilvl w:val="0"/>
                <w:numId w:val="0"/>
              </w:numPr>
              <w:spacing w:line="360" w:lineRule="auto"/>
              <w:ind w:leftChars="0" w:firstLine="420" w:firstLineChars="200"/>
              <w:rPr>
                <w:rFonts w:hint="eastAsia" w:ascii="宋体" w:hAnsi="宋体" w:eastAsia="宋体" w:cs="宋体"/>
                <w:sz w:val="21"/>
                <w:szCs w:val="21"/>
              </w:rPr>
            </w:pPr>
            <w:r>
              <w:rPr>
                <w:rFonts w:hint="eastAsia" w:ascii="宋体" w:hAnsi="宋体"/>
                <w:color w:val="000000"/>
                <w:sz w:val="21"/>
                <w:szCs w:val="21"/>
                <w:lang w:val="en-US" w:eastAsia="zh-CN"/>
              </w:rPr>
              <w:t>监测结果分析：从连续两天对厂界四周的环境噪声监测结果来看，项目厂界噪声均能达到</w:t>
            </w:r>
            <w:r>
              <w:rPr>
                <w:rFonts w:hint="eastAsia" w:ascii="宋体" w:hAnsi="宋体" w:eastAsia="宋体" w:cs="宋体"/>
                <w:sz w:val="21"/>
                <w:szCs w:val="21"/>
              </w:rPr>
              <w:t>《工业企业厂界环境噪声排放标准》(GB12348-2008)2类标准</w:t>
            </w:r>
            <w:r>
              <w:rPr>
                <w:rFonts w:hint="eastAsia" w:ascii="宋体" w:hAnsi="宋体" w:cs="宋体"/>
                <w:sz w:val="21"/>
                <w:szCs w:val="21"/>
                <w:lang w:eastAsia="zh-CN"/>
              </w:rPr>
              <w:t>，达标率</w:t>
            </w:r>
            <w:r>
              <w:rPr>
                <w:rFonts w:hint="eastAsia" w:ascii="宋体" w:hAnsi="宋体" w:cs="宋体"/>
                <w:sz w:val="21"/>
                <w:szCs w:val="21"/>
                <w:lang w:val="en-US" w:eastAsia="zh-CN"/>
              </w:rPr>
              <w:t>100%</w:t>
            </w:r>
            <w:r>
              <w:rPr>
                <w:rFonts w:hint="eastAsia" w:ascii="宋体" w:hAnsi="宋体" w:eastAsia="宋体" w:cs="宋体"/>
                <w:sz w:val="21"/>
                <w:szCs w:val="21"/>
              </w:rPr>
              <w:t>。</w:t>
            </w:r>
          </w:p>
          <w:p>
            <w:pPr>
              <w:pStyle w:val="2"/>
              <w:numPr>
                <w:ilvl w:val="0"/>
                <w:numId w:val="0"/>
              </w:numPr>
              <w:spacing w:line="360" w:lineRule="auto"/>
              <w:ind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厂界噪声昼间、夜间相差较大的原因：项目距离煤场较近（约50m），昼间受煤场运输车辆通行和铲车装运的影响，项目厂界噪声较大；夜间煤场车辆停止装运，噪声值下降。</w:t>
            </w:r>
          </w:p>
          <w:p>
            <w:pPr>
              <w:pStyle w:val="2"/>
              <w:numPr>
                <w:ilvl w:val="0"/>
                <w:numId w:val="10"/>
              </w:numPr>
              <w:ind w:left="0" w:leftChars="0" w:firstLine="0" w:firstLineChars="0"/>
              <w:rPr>
                <w:rFonts w:hint="eastAsia" w:ascii="宋体" w:hAnsi="宋体"/>
                <w:color w:val="000000"/>
                <w:sz w:val="21"/>
                <w:szCs w:val="21"/>
                <w:lang w:val="en-US" w:eastAsia="zh-CN"/>
              </w:rPr>
            </w:pPr>
            <w:r>
              <w:rPr>
                <w:rFonts w:hint="eastAsia" w:ascii="宋体" w:hAnsi="宋体"/>
                <w:color w:val="000000"/>
                <w:sz w:val="21"/>
                <w:szCs w:val="21"/>
                <w:lang w:val="en-US" w:eastAsia="zh-CN"/>
              </w:rPr>
              <w:t>废气</w:t>
            </w:r>
          </w:p>
          <w:p>
            <w:pPr>
              <w:pStyle w:val="2"/>
              <w:numPr>
                <w:ilvl w:val="0"/>
                <w:numId w:val="0"/>
              </w:numPr>
              <w:ind w:leftChars="0" w:firstLine="420" w:firstLineChars="200"/>
              <w:rPr>
                <w:rFonts w:hint="eastAsia"/>
              </w:rPr>
            </w:pPr>
            <w:r>
              <w:rPr>
                <w:rFonts w:hint="eastAsia" w:ascii="宋体" w:hAnsi="宋体"/>
                <w:color w:val="000000"/>
                <w:sz w:val="21"/>
                <w:szCs w:val="21"/>
                <w:lang w:val="en-US" w:eastAsia="zh-CN"/>
              </w:rPr>
              <w:t>（1）厂界无组织颗粒物</w:t>
            </w:r>
          </w:p>
          <w:tbl>
            <w:tblPr>
              <w:tblStyle w:val="10"/>
              <w:tblW w:w="8757"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40"/>
              <w:gridCol w:w="1605"/>
              <w:gridCol w:w="1185"/>
              <w:gridCol w:w="960"/>
              <w:gridCol w:w="870"/>
              <w:gridCol w:w="975"/>
              <w:gridCol w:w="1050"/>
              <w:gridCol w:w="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21" w:hRule="atLeast"/>
                <w:jc w:val="center"/>
              </w:trPr>
              <w:tc>
                <w:tcPr>
                  <w:tcW w:w="642"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lang w:val="en-US" w:eastAsia="zh-CN"/>
                    </w:rPr>
                    <w:t>日期</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lang w:val="en-US" w:eastAsia="zh-CN"/>
                    </w:rPr>
                    <w:t>监测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lang w:val="en-US" w:eastAsia="zh-CN"/>
                    </w:rPr>
                    <w:t>频次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lang w:val="en-US" w:eastAsia="zh-CN"/>
                    </w:rPr>
                    <w:t>样品编号</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rPr>
                  </w:pPr>
                  <w:r>
                    <w:rPr>
                      <w:sz w:val="18"/>
                      <w:szCs w:val="18"/>
                    </w:rPr>
                    <w:t>监测</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sz w:val="18"/>
                      <w:szCs w:val="18"/>
                    </w:rPr>
                    <w:t>点位</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rPr>
                  </w:pPr>
                  <w:r>
                    <w:rPr>
                      <w:rFonts w:hint="eastAsia"/>
                      <w:sz w:val="18"/>
                      <w:szCs w:val="18"/>
                    </w:rPr>
                    <w:t>监测</w:t>
                  </w:r>
                  <w:r>
                    <w:rPr>
                      <w:sz w:val="18"/>
                      <w:szCs w:val="18"/>
                    </w:rPr>
                    <w:t>结果</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rPr>
                    <w:t>mg/m</w:t>
                  </w:r>
                  <w:r>
                    <w:rPr>
                      <w:rFonts w:hint="eastAsia"/>
                      <w:sz w:val="18"/>
                      <w:szCs w:val="18"/>
                      <w:vertAlign w:val="superscript"/>
                    </w:rPr>
                    <w:t>3</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rPr>
                  </w:pPr>
                  <w:r>
                    <w:rPr>
                      <w:rFonts w:hint="eastAsia"/>
                      <w:sz w:val="18"/>
                      <w:szCs w:val="18"/>
                      <w:lang w:val="en-US" w:eastAsia="zh-CN"/>
                    </w:rPr>
                    <w:t>实测</w:t>
                  </w:r>
                  <w:r>
                    <w:rPr>
                      <w:sz w:val="18"/>
                      <w:szCs w:val="18"/>
                    </w:rPr>
                    <w:t>最大差值</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rPr>
                    <w:t>mg/m</w:t>
                  </w:r>
                  <w:r>
                    <w:rPr>
                      <w:rFonts w:hint="eastAsia"/>
                      <w:sz w:val="18"/>
                      <w:szCs w:val="18"/>
                      <w:vertAlign w:val="superscript"/>
                    </w:rPr>
                    <w:t>3</w:t>
                  </w:r>
                </w:p>
              </w:tc>
              <w:tc>
                <w:tcPr>
                  <w:tcW w:w="97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rPr>
                  </w:pPr>
                  <w:r>
                    <w:rPr>
                      <w:rFonts w:hint="eastAsia"/>
                      <w:sz w:val="18"/>
                      <w:szCs w:val="18"/>
                      <w:lang w:val="en-US" w:eastAsia="zh-CN"/>
                    </w:rPr>
                    <w:t>实测</w:t>
                  </w:r>
                  <w:r>
                    <w:rPr>
                      <w:sz w:val="18"/>
                      <w:szCs w:val="18"/>
                    </w:rPr>
                    <w:t>最大</w:t>
                  </w:r>
                  <w:r>
                    <w:rPr>
                      <w:rFonts w:hint="eastAsia"/>
                      <w:sz w:val="18"/>
                      <w:szCs w:val="18"/>
                    </w:rPr>
                    <w:t>浓度值</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rFonts w:hint="eastAsia"/>
                      <w:sz w:val="18"/>
                      <w:szCs w:val="18"/>
                    </w:rPr>
                    <w:t>mg/m</w:t>
                  </w:r>
                  <w:r>
                    <w:rPr>
                      <w:rFonts w:hint="eastAsia"/>
                      <w:sz w:val="18"/>
                      <w:szCs w:val="18"/>
                      <w:vertAlign w:val="superscript"/>
                    </w:rPr>
                    <w:t>3</w:t>
                  </w:r>
                </w:p>
              </w:tc>
              <w:tc>
                <w:tcPr>
                  <w:tcW w:w="10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rPr>
                  </w:pPr>
                  <w:r>
                    <w:rPr>
                      <w:sz w:val="18"/>
                      <w:szCs w:val="18"/>
                    </w:rPr>
                    <w:t>标准限值</w:t>
                  </w:r>
                  <w:r>
                    <w:rPr>
                      <w:rFonts w:hint="eastAsia"/>
                      <w:sz w:val="18"/>
                      <w:szCs w:val="18"/>
                    </w:rPr>
                    <w:t>（监控点与参考点浓度差值）</w:t>
                  </w:r>
                </w:p>
                <w:p>
                  <w:pPr>
                    <w:keepNext w:val="0"/>
                    <w:keepLines w:val="0"/>
                    <w:pageBreakBefore w:val="0"/>
                    <w:widowControl/>
                    <w:kinsoku/>
                    <w:wordWrap/>
                    <w:overflowPunct/>
                    <w:topLinePunct w:val="0"/>
                    <w:autoSpaceDE/>
                    <w:autoSpaceDN/>
                    <w:bidi w:val="0"/>
                    <w:adjustRightInd w:val="0"/>
                    <w:snapToGrid w:val="0"/>
                    <w:spacing w:after="0" w:line="240" w:lineRule="auto"/>
                    <w:ind w:firstLine="180" w:firstLineChars="100"/>
                    <w:jc w:val="center"/>
                    <w:textAlignment w:val="auto"/>
                    <w:rPr>
                      <w:rFonts w:hint="eastAsia"/>
                      <w:sz w:val="18"/>
                      <w:szCs w:val="18"/>
                      <w:lang w:val="en-US" w:eastAsia="zh-CN"/>
                    </w:rPr>
                  </w:pPr>
                  <w:r>
                    <w:rPr>
                      <w:rFonts w:hint="eastAsia"/>
                      <w:sz w:val="18"/>
                      <w:szCs w:val="18"/>
                    </w:rPr>
                    <w:t>mg/m</w:t>
                  </w:r>
                  <w:r>
                    <w:rPr>
                      <w:rFonts w:hint="eastAsia"/>
                      <w:sz w:val="18"/>
                      <w:szCs w:val="18"/>
                      <w:vertAlign w:val="superscript"/>
                    </w:rPr>
                    <w:t>3</w:t>
                  </w:r>
                </w:p>
              </w:tc>
              <w:tc>
                <w:tcPr>
                  <w:tcW w:w="6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rPr>
                  </w:pPr>
                  <w:r>
                    <w:rPr>
                      <w:sz w:val="18"/>
                      <w:szCs w:val="18"/>
                    </w:rPr>
                    <w:t>达标</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sz w:val="18"/>
                      <w:szCs w:val="18"/>
                      <w:lang w:val="en-US" w:eastAsia="zh-CN"/>
                    </w:rPr>
                  </w:pPr>
                  <w:r>
                    <w:rPr>
                      <w:sz w:val="18"/>
                      <w:szCs w:val="18"/>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2018.8.4</w:t>
                  </w:r>
                </w:p>
              </w:tc>
              <w:tc>
                <w:tcPr>
                  <w:tcW w:w="8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第一次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QK20180804001</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参照点1#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0.056</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0.532</w:t>
                  </w: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0.588</w:t>
                  </w:r>
                </w:p>
              </w:tc>
              <w:tc>
                <w:tcPr>
                  <w:tcW w:w="105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color w:val="auto"/>
                      <w:sz w:val="18"/>
                      <w:szCs w:val="18"/>
                      <w:lang w:val="en-US" w:eastAsia="zh-CN"/>
                    </w:rPr>
                    <w:t>1.0</w:t>
                  </w:r>
                </w:p>
              </w:tc>
              <w:tc>
                <w:tcPr>
                  <w:tcW w:w="6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sz w:val="18"/>
                      <w:szCs w:val="18"/>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sz w:val="18"/>
                      <w:szCs w:val="18"/>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QK20180804002</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0.195</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QK20180804003</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0.588</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QK20180804004</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0.362</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c>
                <w:tcPr>
                  <w:tcW w:w="8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第二次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QK20180804005</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参照点1#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0.056</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0.474</w:t>
                  </w: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sz w:val="18"/>
                      <w:szCs w:val="18"/>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sz w:val="18"/>
                      <w:szCs w:val="18"/>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QK20180804006</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0.278</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QK20180804007</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0.530</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QK20180804008</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0.390</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c>
                <w:tcPr>
                  <w:tcW w:w="8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第三次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QK20180804009</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参照点1#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0.112</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0.363</w:t>
                  </w: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sz w:val="18"/>
                      <w:szCs w:val="18"/>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sz w:val="18"/>
                      <w:szCs w:val="18"/>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QK20180804010</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0.279</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QK20180804011</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0.475</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QK20180804012</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监控点4#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0.363</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2018.8.5</w:t>
                  </w:r>
                </w:p>
              </w:tc>
              <w:tc>
                <w:tcPr>
                  <w:tcW w:w="8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第一次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QK20180805001</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参照点1#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0.084</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0.362</w:t>
                  </w:r>
                </w:p>
              </w:tc>
              <w:tc>
                <w:tcPr>
                  <w:tcW w:w="9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0.531</w:t>
                  </w: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QK20180805002</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0.279</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QK20180805003</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0.362</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QK20180805004</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0.446</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第二次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QK20180805005</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参照点1#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0.056</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0.475</w:t>
                  </w: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QK20180805006</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0.419</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QK20180805007</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0.531</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QK20180805008</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0.335</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第三次</w:t>
                  </w: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QK20180805009</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参照点1#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sz w:val="18"/>
                      <w:szCs w:val="18"/>
                      <w:lang w:val="en-US" w:eastAsia="zh-CN"/>
                    </w:rPr>
                    <w:t>0.084</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0.335</w:t>
                  </w: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QK20180805010</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0.363</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QK20180805011</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0.279</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4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8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6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QK20180805012</w:t>
                  </w:r>
                </w:p>
              </w:tc>
              <w:tc>
                <w:tcPr>
                  <w:tcW w:w="11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sz w:val="18"/>
                      <w:szCs w:val="18"/>
                      <w:lang w:val="en-US" w:eastAsia="zh-CN"/>
                    </w:rPr>
                  </w:pPr>
                  <w:r>
                    <w:rPr>
                      <w:rFonts w:hint="eastAsia"/>
                      <w:sz w:val="18"/>
                      <w:szCs w:val="18"/>
                      <w:lang w:val="en-US" w:eastAsia="zh-CN"/>
                    </w:rPr>
                    <w:t>监控点4#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0.419</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9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105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c>
                <w:tcPr>
                  <w:tcW w:w="63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18"/>
                      <w:szCs w:val="18"/>
                      <w:lang w:val="en-US" w:eastAsia="zh-CN"/>
                    </w:rPr>
                  </w:pP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rPr>
                <w:rFonts w:hint="eastAsia" w:ascii="宋体" w:hAnsi="宋体" w:eastAsia="宋体" w:cs="宋体"/>
                <w:color w:val="000000"/>
                <w:sz w:val="21"/>
                <w:szCs w:val="21"/>
                <w:lang w:eastAsia="zh-CN"/>
              </w:rPr>
            </w:pPr>
            <w:r>
              <w:rPr>
                <w:rFonts w:hint="eastAsia" w:ascii="宋体" w:hAnsi="宋体"/>
                <w:color w:val="000000"/>
                <w:sz w:val="21"/>
                <w:szCs w:val="21"/>
                <w:lang w:val="en-US" w:eastAsia="zh-CN"/>
              </w:rPr>
              <w:t>监测结果分析：从连续两天、每天三次的监测结果来看，项目厂界无组织颗粒物均能达到</w:t>
            </w:r>
            <w:r>
              <w:rPr>
                <w:rFonts w:hint="eastAsia" w:ascii="宋体" w:hAnsi="宋体" w:eastAsia="宋体" w:cs="宋体"/>
                <w:sz w:val="21"/>
                <w:szCs w:val="21"/>
              </w:rPr>
              <w:t>《煤炭工业污染物排放标准》（GB20426-2006）中表5 无组织排放限值</w:t>
            </w:r>
            <w:r>
              <w:rPr>
                <w:rFonts w:hint="eastAsia" w:ascii="宋体" w:hAnsi="宋体" w:cs="宋体"/>
                <w:sz w:val="21"/>
                <w:szCs w:val="21"/>
                <w:lang w:eastAsia="zh-CN"/>
              </w:rPr>
              <w:t>，达标率</w:t>
            </w:r>
            <w:r>
              <w:rPr>
                <w:rFonts w:hint="eastAsia" w:ascii="宋体" w:hAnsi="宋体" w:cs="宋体"/>
                <w:sz w:val="21"/>
                <w:szCs w:val="21"/>
                <w:lang w:val="en-US" w:eastAsia="zh-CN"/>
              </w:rPr>
              <w:t>100%</w:t>
            </w:r>
            <w:r>
              <w:rPr>
                <w:rFonts w:hint="eastAsia" w:ascii="宋体" w:hAnsi="宋体" w:cs="宋体"/>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）热风炉废气</w:t>
            </w:r>
          </w:p>
          <w:tbl>
            <w:tblPr>
              <w:tblStyle w:val="10"/>
              <w:tblW w:w="8533" w:type="dxa"/>
              <w:jc w:val="center"/>
              <w:tblInd w:w="-2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474"/>
              <w:gridCol w:w="837"/>
              <w:gridCol w:w="840"/>
              <w:gridCol w:w="900"/>
              <w:gridCol w:w="1199"/>
              <w:gridCol w:w="1199"/>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sz w:val="18"/>
                      <w:szCs w:val="18"/>
                    </w:rPr>
                    <w:t>测试项目</w:t>
                  </w: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sz w:val="18"/>
                      <w:szCs w:val="18"/>
                    </w:rPr>
                    <w:t>测试</w:t>
                  </w:r>
                </w:p>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sz w:val="18"/>
                      <w:szCs w:val="18"/>
                    </w:rPr>
                    <w:t>频次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b/>
                      <w:bCs/>
                      <w:color w:val="000000"/>
                      <w:sz w:val="18"/>
                      <w:szCs w:val="18"/>
                    </w:rPr>
                  </w:pPr>
                  <w:r>
                    <w:rPr>
                      <w:rFonts w:hint="eastAsia"/>
                      <w:color w:val="000000"/>
                      <w:kern w:val="0"/>
                      <w:sz w:val="18"/>
                      <w:szCs w:val="18"/>
                      <w:lang w:eastAsia="zh-CN" w:bidi="ar"/>
                    </w:rPr>
                    <w:t>烟气进口</w:t>
                  </w:r>
                  <w:r>
                    <w:rPr>
                      <w:color w:val="000000"/>
                      <w:kern w:val="0"/>
                      <w:sz w:val="18"/>
                      <w:szCs w:val="18"/>
                      <w:lang w:bidi="ar"/>
                    </w:rPr>
                    <w:t>实测浓度</w:t>
                  </w:r>
                  <w:r>
                    <w:rPr>
                      <w:bCs/>
                      <w:color w:val="000000"/>
                      <w:kern w:val="0"/>
                      <w:sz w:val="18"/>
                      <w:szCs w:val="18"/>
                      <w:lang w:bidi="ar"/>
                    </w:rPr>
                    <w:t>mg/m</w:t>
                  </w:r>
                  <w:r>
                    <w:rPr>
                      <w:bCs/>
                      <w:color w:val="000000"/>
                      <w:kern w:val="0"/>
                      <w:sz w:val="18"/>
                      <w:szCs w:val="18"/>
                      <w:vertAlign w:val="superscript"/>
                      <w:lang w:bidi="ar"/>
                    </w:rPr>
                    <w:t>3</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lang w:val="en-US" w:eastAsia="zh-CN"/>
                    </w:rPr>
                  </w:pPr>
                  <w:r>
                    <w:rPr>
                      <w:rFonts w:hint="eastAsia"/>
                      <w:color w:val="000000"/>
                      <w:kern w:val="0"/>
                      <w:sz w:val="18"/>
                      <w:szCs w:val="18"/>
                      <w:lang w:eastAsia="zh-CN" w:bidi="ar"/>
                    </w:rPr>
                    <w:t>烟气出口</w:t>
                  </w:r>
                  <w:r>
                    <w:rPr>
                      <w:color w:val="000000"/>
                      <w:kern w:val="0"/>
                      <w:sz w:val="18"/>
                      <w:szCs w:val="18"/>
                      <w:lang w:bidi="ar"/>
                    </w:rPr>
                    <w:t>实测浓度</w:t>
                  </w:r>
                  <w:r>
                    <w:rPr>
                      <w:bCs/>
                      <w:color w:val="000000"/>
                      <w:kern w:val="0"/>
                      <w:sz w:val="18"/>
                      <w:szCs w:val="18"/>
                      <w:lang w:bidi="ar"/>
                    </w:rPr>
                    <w:t>mg/m</w:t>
                  </w:r>
                  <w:r>
                    <w:rPr>
                      <w:bCs/>
                      <w:color w:val="000000"/>
                      <w:kern w:val="0"/>
                      <w:sz w:val="18"/>
                      <w:szCs w:val="18"/>
                      <w:vertAlign w:val="superscript"/>
                      <w:lang w:bidi="ar"/>
                    </w:rPr>
                    <w:t>3</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color w:val="000000"/>
                      <w:kern w:val="0"/>
                      <w:sz w:val="18"/>
                      <w:szCs w:val="18"/>
                      <w:lang w:eastAsia="zh-CN" w:bidi="ar"/>
                    </w:rPr>
                  </w:pPr>
                  <w:r>
                    <w:rPr>
                      <w:rFonts w:hint="eastAsia"/>
                      <w:color w:val="000000"/>
                      <w:kern w:val="0"/>
                      <w:sz w:val="18"/>
                      <w:szCs w:val="18"/>
                      <w:lang w:eastAsia="zh-CN" w:bidi="ar"/>
                    </w:rPr>
                    <w:t>烟气出口折算</w:t>
                  </w:r>
                  <w:r>
                    <w:rPr>
                      <w:color w:val="000000"/>
                      <w:kern w:val="0"/>
                      <w:sz w:val="18"/>
                      <w:szCs w:val="18"/>
                      <w:lang w:bidi="ar"/>
                    </w:rPr>
                    <w:t>浓度</w:t>
                  </w:r>
                  <w:r>
                    <w:rPr>
                      <w:bCs/>
                      <w:color w:val="000000"/>
                      <w:kern w:val="0"/>
                      <w:sz w:val="18"/>
                      <w:szCs w:val="18"/>
                      <w:lang w:bidi="ar"/>
                    </w:rPr>
                    <w:t>mg/m</w:t>
                  </w:r>
                  <w:r>
                    <w:rPr>
                      <w:bCs/>
                      <w:color w:val="000000"/>
                      <w:kern w:val="0"/>
                      <w:sz w:val="18"/>
                      <w:szCs w:val="18"/>
                      <w:vertAlign w:val="superscript"/>
                      <w:lang w:bidi="ar"/>
                    </w:rPr>
                    <w:t>3</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sz w:val="18"/>
                      <w:szCs w:val="18"/>
                      <w:lang w:eastAsia="zh-CN"/>
                    </w:rPr>
                  </w:pPr>
                  <w:r>
                    <w:rPr>
                      <w:rFonts w:hint="eastAsia"/>
                      <w:sz w:val="18"/>
                      <w:szCs w:val="18"/>
                      <w:lang w:eastAsia="zh-CN"/>
                    </w:rPr>
                    <w:t>标准值</w:t>
                  </w:r>
                </w:p>
                <w:p>
                  <w:pPr>
                    <w:pStyle w:val="2"/>
                    <w:keepNext w:val="0"/>
                    <w:keepLines w:val="0"/>
                    <w:pageBreakBefore w:val="0"/>
                    <w:widowControl/>
                    <w:kinsoku/>
                    <w:wordWrap/>
                    <w:overflowPunct/>
                    <w:topLinePunct w:val="0"/>
                    <w:autoSpaceDE/>
                    <w:autoSpaceDN/>
                    <w:bidi w:val="0"/>
                    <w:adjustRightInd w:val="0"/>
                    <w:snapToGrid w:val="0"/>
                    <w:ind w:left="0" w:leftChars="0" w:firstLine="0" w:firstLineChars="0"/>
                    <w:jc w:val="center"/>
                    <w:rPr>
                      <w:rFonts w:hint="eastAsia"/>
                      <w:lang w:val="en-US" w:eastAsia="zh-CN"/>
                    </w:rPr>
                  </w:pPr>
                  <w:r>
                    <w:rPr>
                      <w:rFonts w:hint="eastAsia"/>
                      <w:b w:val="0"/>
                      <w:bCs w:val="0"/>
                      <w:color w:val="000000"/>
                      <w:kern w:val="0"/>
                      <w:sz w:val="18"/>
                      <w:szCs w:val="18"/>
                      <w:lang w:val="en-US" w:eastAsia="zh-CN" w:bidi="ar"/>
                    </w:rPr>
                    <w:t>mg/m</w:t>
                  </w:r>
                  <w:r>
                    <w:rPr>
                      <w:rFonts w:hint="eastAsia"/>
                      <w:b w:val="0"/>
                      <w:bCs w:val="0"/>
                      <w:color w:val="000000"/>
                      <w:kern w:val="0"/>
                      <w:sz w:val="18"/>
                      <w:szCs w:val="18"/>
                      <w:vertAlign w:val="superscript"/>
                      <w:lang w:val="en-US" w:eastAsia="zh-CN" w:bidi="ar"/>
                    </w:rPr>
                    <w:t>3</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sz w:val="18"/>
                      <w:szCs w:val="18"/>
                      <w:lang w:eastAsia="zh-CN"/>
                    </w:rPr>
                  </w:pPr>
                  <w:r>
                    <w:rPr>
                      <w:rFonts w:hint="eastAsia"/>
                      <w:sz w:val="18"/>
                      <w:szCs w:val="18"/>
                      <w:lang w:eastAsia="zh-CN"/>
                    </w:rPr>
                    <w:t>排放速率</w:t>
                  </w:r>
                </w:p>
                <w:p>
                  <w:pPr>
                    <w:pStyle w:val="2"/>
                    <w:rPr>
                      <w:rFonts w:hint="eastAsia"/>
                      <w:lang w:val="en-US" w:eastAsia="zh-CN"/>
                    </w:rPr>
                  </w:pPr>
                  <w:r>
                    <w:rPr>
                      <w:rFonts w:hint="eastAsia"/>
                      <w:b w:val="0"/>
                      <w:bCs w:val="0"/>
                      <w:color w:val="000000"/>
                      <w:kern w:val="0"/>
                      <w:sz w:val="18"/>
                      <w:szCs w:val="18"/>
                      <w:lang w:val="en-US" w:eastAsia="zh-CN" w:bidi="ar"/>
                    </w:rPr>
                    <w:t>Kg/h</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微软雅黑"/>
                      <w:b/>
                      <w:bCs/>
                      <w:color w:val="000000"/>
                      <w:kern w:val="0"/>
                      <w:sz w:val="18"/>
                      <w:szCs w:val="18"/>
                      <w:lang w:eastAsia="zh-CN" w:bidi="ar"/>
                    </w:rPr>
                  </w:pPr>
                  <w:r>
                    <w:rPr>
                      <w:rFonts w:hint="eastAsia"/>
                      <w:b w:val="0"/>
                      <w:bCs w:val="0"/>
                      <w:color w:val="000000"/>
                      <w:kern w:val="0"/>
                      <w:sz w:val="18"/>
                      <w:szCs w:val="18"/>
                      <w:lang w:eastAsia="zh-CN"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eastAsia="宋体"/>
                      <w:sz w:val="18"/>
                      <w:szCs w:val="18"/>
                      <w:lang w:val="en-US" w:eastAsia="zh-CN"/>
                    </w:rPr>
                  </w:pPr>
                  <w:r>
                    <w:rPr>
                      <w:rFonts w:hint="eastAsia"/>
                      <w:sz w:val="18"/>
                      <w:szCs w:val="18"/>
                      <w:lang w:val="en-US" w:eastAsia="zh-CN"/>
                    </w:rPr>
                    <w:t>颗粒物</w:t>
                  </w: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eastAsia="微软雅黑"/>
                      <w:sz w:val="18"/>
                      <w:szCs w:val="18"/>
                      <w:lang w:val="en-US" w:eastAsia="zh-CN"/>
                    </w:rPr>
                  </w:pPr>
                  <w:r>
                    <w:rPr>
                      <w:rFonts w:hint="eastAsia"/>
                      <w:sz w:val="18"/>
                      <w:szCs w:val="18"/>
                      <w:lang w:val="en-US" w:eastAsia="zh-CN"/>
                    </w:rPr>
                    <w:t>8月4日第一次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954</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3.72</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25.0</w:t>
                  </w:r>
                </w:p>
              </w:tc>
              <w:tc>
                <w:tcPr>
                  <w:tcW w:w="11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30</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0.133</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eastAsia="微软雅黑"/>
                      <w:sz w:val="18"/>
                      <w:szCs w:val="18"/>
                      <w:lang w:val="en-US" w:eastAsia="zh-CN"/>
                    </w:rPr>
                  </w:pPr>
                  <w:r>
                    <w:rPr>
                      <w:rFonts w:hint="eastAsia"/>
                      <w:sz w:val="18"/>
                      <w:szCs w:val="18"/>
                      <w:lang w:val="en-US" w:eastAsia="zh-CN"/>
                    </w:rPr>
                    <w:t>8月4日第二次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889</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3.93</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26.4</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0.146</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eastAsia="微软雅黑"/>
                      <w:sz w:val="18"/>
                      <w:szCs w:val="18"/>
                      <w:lang w:val="en-US" w:eastAsia="zh-CN"/>
                    </w:rPr>
                  </w:pPr>
                  <w:r>
                    <w:rPr>
                      <w:rFonts w:hint="eastAsia"/>
                      <w:sz w:val="18"/>
                      <w:szCs w:val="18"/>
                      <w:lang w:val="en-US" w:eastAsia="zh-CN"/>
                    </w:rPr>
                    <w:t>8月4日第三次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1220</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3.42</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23.0</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0.133</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8月5日第一次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1420</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4.52</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28.1</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0.187</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8月5日第二次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1405</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3.11</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19.3</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0.120</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8月5日第三次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1674</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4.26</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26.5</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0.173</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sz w:val="18"/>
                      <w:szCs w:val="18"/>
                    </w:rPr>
                    <w:t>均值</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1260</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3.83</w:t>
                  </w:r>
                </w:p>
              </w:tc>
              <w:tc>
                <w:tcPr>
                  <w:tcW w:w="4497"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除尘率：99.7%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eastAsia="宋体"/>
                      <w:sz w:val="18"/>
                      <w:szCs w:val="18"/>
                      <w:lang w:val="en-US" w:eastAsia="zh-CN"/>
                    </w:rPr>
                  </w:pPr>
                  <w:r>
                    <w:rPr>
                      <w:rFonts w:hint="eastAsia"/>
                      <w:sz w:val="18"/>
                      <w:szCs w:val="18"/>
                      <w:lang w:val="en-US" w:eastAsia="zh-CN"/>
                    </w:rPr>
                    <w:t>SO</w:t>
                  </w:r>
                  <w:r>
                    <w:rPr>
                      <w:rFonts w:hint="eastAsia"/>
                      <w:sz w:val="18"/>
                      <w:szCs w:val="18"/>
                      <w:vertAlign w:val="subscript"/>
                      <w:lang w:val="en-US" w:eastAsia="zh-CN"/>
                    </w:rPr>
                    <w:t>2</w:t>
                  </w: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8月4日第一次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18</w:t>
                  </w:r>
                </w:p>
              </w:tc>
              <w:tc>
                <w:tcPr>
                  <w:tcW w:w="11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200</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0.107</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8月4日第二次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8</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5</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33</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0.186</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8月4日第三次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8</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6</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45</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0.234</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8月5日第一次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7</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27</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0.165</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8月5日第二次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6</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23</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0.154</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8月5日第三次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7</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6</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38</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0.244</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sz w:val="18"/>
                      <w:szCs w:val="18"/>
                    </w:rPr>
                    <w:t>均值</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6.7</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4.7</w:t>
                  </w:r>
                </w:p>
              </w:tc>
              <w:tc>
                <w:tcPr>
                  <w:tcW w:w="4497"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脱硫率：29.9%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eastAsia="宋体"/>
                      <w:sz w:val="18"/>
                      <w:szCs w:val="18"/>
                      <w:lang w:val="en-US" w:eastAsia="zh-CN"/>
                    </w:rPr>
                  </w:pPr>
                  <w:r>
                    <w:rPr>
                      <w:rFonts w:hint="eastAsia"/>
                      <w:sz w:val="18"/>
                      <w:szCs w:val="18"/>
                      <w:lang w:val="en-US" w:eastAsia="zh-CN"/>
                    </w:rPr>
                    <w:t>氮氧化物</w:t>
                  </w: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8月4日第一次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20</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12</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72</w:t>
                  </w:r>
                </w:p>
              </w:tc>
              <w:tc>
                <w:tcPr>
                  <w:tcW w:w="11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200</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0.429</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8月4日第二次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23</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17</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133</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0.634</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8月4日第三次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24</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25</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188</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0.975</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8月5日第一次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39</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21</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140</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0.867</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8月5日第二次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43</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27</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154</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1.04</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sz w:val="18"/>
                      <w:szCs w:val="18"/>
                    </w:rPr>
                  </w:pPr>
                  <w:r>
                    <w:rPr>
                      <w:rFonts w:hint="eastAsia"/>
                      <w:sz w:val="18"/>
                      <w:szCs w:val="18"/>
                      <w:lang w:val="en-US" w:eastAsia="zh-CN"/>
                    </w:rPr>
                    <w:t>8月5日第三次</w:t>
                  </w:r>
                </w:p>
              </w:tc>
              <w:tc>
                <w:tcPr>
                  <w:tcW w:w="8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51</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26</w:t>
                  </w:r>
                </w:p>
              </w:tc>
              <w:tc>
                <w:tcPr>
                  <w:tcW w:w="9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164</w:t>
                  </w:r>
                </w:p>
              </w:tc>
              <w:tc>
                <w:tcPr>
                  <w:tcW w:w="11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1.06</w:t>
                  </w:r>
                </w:p>
              </w:tc>
              <w:tc>
                <w:tcPr>
                  <w:tcW w:w="119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eastAsia="宋体"/>
                      <w:bCs/>
                      <w:color w:val="000000"/>
                      <w:sz w:val="18"/>
                      <w:szCs w:val="18"/>
                      <w:lang w:val="en-US" w:eastAsia="zh-CN"/>
                    </w:rPr>
                  </w:pPr>
                  <w:r>
                    <w:rPr>
                      <w:rFonts w:hint="eastAsia" w:eastAsia="宋体"/>
                      <w:bCs/>
                      <w:color w:val="000000"/>
                      <w:sz w:val="18"/>
                      <w:szCs w:val="18"/>
                      <w:lang w:val="en-US" w:eastAsia="zh-CN"/>
                    </w:rPr>
                    <w:t>达标</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rPr>
                <w:rFonts w:hint="eastAsia" w:ascii="宋体" w:hAnsi="宋体" w:cs="宋体"/>
                <w:sz w:val="21"/>
                <w:szCs w:val="21"/>
                <w:lang w:val="en-US" w:eastAsia="zh-CN"/>
              </w:rPr>
            </w:pPr>
            <w:r>
              <w:rPr>
                <w:rFonts w:hint="eastAsia" w:ascii="宋体" w:hAnsi="宋体"/>
                <w:color w:val="000000"/>
                <w:sz w:val="21"/>
                <w:szCs w:val="21"/>
                <w:lang w:val="en-US" w:eastAsia="zh-CN"/>
              </w:rPr>
              <w:t>监测结果分析：项目热风炉废气中的各污染物均能达到</w:t>
            </w:r>
            <w:r>
              <w:rPr>
                <w:rFonts w:hint="eastAsia" w:ascii="宋体" w:hAnsi="宋体" w:eastAsia="宋体" w:cs="宋体"/>
                <w:sz w:val="21"/>
                <w:szCs w:val="21"/>
                <w:lang w:val="en-US" w:eastAsia="zh-CN"/>
              </w:rPr>
              <w:t>《锅炉大气污染物排放标准》（GB13271-2014）表3燃煤锅炉大气污染物特别排放限值</w:t>
            </w:r>
            <w:r>
              <w:rPr>
                <w:rFonts w:hint="eastAsia" w:ascii="宋体" w:hAnsi="宋体" w:cs="宋体"/>
                <w:sz w:val="21"/>
                <w:szCs w:val="21"/>
                <w:lang w:val="en-US" w:eastAsia="zh-CN"/>
              </w:rPr>
              <w:t>，达标率100%。</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环保设施处理效率：</w:t>
            </w:r>
          </w:p>
          <w:tbl>
            <w:tblPr>
              <w:tblStyle w:val="11"/>
              <w:tblW w:w="8282" w:type="dxa"/>
              <w:jc w:val="center"/>
              <w:tblInd w:w="-4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410"/>
              <w:gridCol w:w="1485"/>
              <w:gridCol w:w="1200"/>
              <w:gridCol w:w="2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9" w:hRule="exact"/>
                <w:jc w:val="center"/>
              </w:trPr>
              <w:tc>
                <w:tcPr>
                  <w:tcW w:w="1359"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环保设施效率</w:t>
                  </w:r>
                </w:p>
              </w:tc>
              <w:tc>
                <w:tcPr>
                  <w:tcW w:w="1410"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环评中效率</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w:t>
                  </w:r>
                </w:p>
              </w:tc>
              <w:tc>
                <w:tcPr>
                  <w:tcW w:w="148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实际监测效率</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w:t>
                  </w:r>
                </w:p>
              </w:tc>
              <w:tc>
                <w:tcPr>
                  <w:tcW w:w="1200"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是否达到环评中效率</w:t>
                  </w:r>
                </w:p>
              </w:tc>
              <w:tc>
                <w:tcPr>
                  <w:tcW w:w="2828"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原因分析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59"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除尘率</w:t>
                  </w:r>
                </w:p>
              </w:tc>
              <w:tc>
                <w:tcPr>
                  <w:tcW w:w="1410"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99</w:t>
                  </w:r>
                </w:p>
              </w:tc>
              <w:tc>
                <w:tcPr>
                  <w:tcW w:w="148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99.7</w:t>
                  </w:r>
                </w:p>
              </w:tc>
              <w:tc>
                <w:tcPr>
                  <w:tcW w:w="1200"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达到</w:t>
                  </w:r>
                </w:p>
              </w:tc>
              <w:tc>
                <w:tcPr>
                  <w:tcW w:w="2828"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cs="宋体"/>
                      <w:kern w:val="0"/>
                      <w:sz w:val="18"/>
                      <w:szCs w:val="18"/>
                      <w:vertAlign w:val="baseline"/>
                      <w:lang w:val="en-US" w:eastAsia="zh-CN"/>
                    </w:rPr>
                  </w:pPr>
                  <w:r>
                    <w:rPr>
                      <w:rFonts w:hint="eastAsia" w:ascii="宋体" w:hAnsi="宋体" w:cs="宋体"/>
                      <w:kern w:val="0"/>
                      <w:sz w:val="18"/>
                      <w:szCs w:val="18"/>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4" w:hRule="exact"/>
                <w:jc w:val="center"/>
              </w:trPr>
              <w:tc>
                <w:tcPr>
                  <w:tcW w:w="1359"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脱硫率</w:t>
                  </w:r>
                </w:p>
              </w:tc>
              <w:tc>
                <w:tcPr>
                  <w:tcW w:w="1410"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85</w:t>
                  </w:r>
                </w:p>
              </w:tc>
              <w:tc>
                <w:tcPr>
                  <w:tcW w:w="148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29.9</w:t>
                  </w:r>
                </w:p>
              </w:tc>
              <w:tc>
                <w:tcPr>
                  <w:tcW w:w="1200"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未达到</w:t>
                  </w:r>
                </w:p>
              </w:tc>
              <w:tc>
                <w:tcPr>
                  <w:tcW w:w="2828"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项目用煤含硫率较低，导致SO</w:t>
                  </w:r>
                  <w:r>
                    <w:rPr>
                      <w:rFonts w:hint="eastAsia" w:ascii="宋体" w:hAnsi="宋体" w:cs="宋体"/>
                      <w:kern w:val="0"/>
                      <w:sz w:val="18"/>
                      <w:szCs w:val="18"/>
                      <w:vertAlign w:val="subscript"/>
                      <w:lang w:val="en-US" w:eastAsia="zh-CN"/>
                    </w:rPr>
                    <w:t>2</w:t>
                  </w:r>
                  <w:r>
                    <w:rPr>
                      <w:rFonts w:hint="eastAsia" w:ascii="宋体" w:hAnsi="宋体" w:cs="宋体"/>
                      <w:kern w:val="0"/>
                      <w:sz w:val="18"/>
                      <w:szCs w:val="18"/>
                      <w:vertAlign w:val="baseline"/>
                      <w:lang w:val="en-US" w:eastAsia="zh-CN"/>
                    </w:rPr>
                    <w:t>进口初始浓度较低，所以未能达到环评中脱硫率。</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rPr>
                <w:rFonts w:hint="eastAsia"/>
                <w:sz w:val="21"/>
                <w:szCs w:val="21"/>
                <w:vertAlign w:val="baseline"/>
                <w:lang w:val="en-US" w:eastAsia="zh-CN"/>
              </w:rPr>
            </w:pP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rPr>
                <w:rFonts w:hint="eastAsia"/>
                <w:sz w:val="21"/>
                <w:szCs w:val="21"/>
                <w:vertAlign w:val="baseline"/>
                <w:lang w:val="en-US" w:eastAsia="zh-CN"/>
              </w:rPr>
            </w:pPr>
            <w:r>
              <w:rPr>
                <w:rFonts w:hint="eastAsia"/>
                <w:sz w:val="21"/>
                <w:szCs w:val="21"/>
                <w:vertAlign w:val="baseline"/>
                <w:lang w:val="en-US" w:eastAsia="zh-CN"/>
              </w:rPr>
              <w:t>综上，本项目厂界噪声、厂界无组织颗粒物、热风炉废气均能达标排放。</w:t>
            </w:r>
          </w:p>
          <w:p>
            <w:pPr>
              <w:pStyle w:val="2"/>
              <w:numPr>
                <w:ilvl w:val="0"/>
                <w:numId w:val="0"/>
              </w:numPr>
              <w:spacing w:line="360" w:lineRule="auto"/>
              <w:ind w:leftChars="0" w:firstLine="420" w:firstLineChars="200"/>
              <w:rPr>
                <w:rFonts w:hint="eastAsia"/>
                <w:sz w:val="21"/>
                <w:szCs w:val="21"/>
                <w:vertAlign w:val="baseline"/>
                <w:lang w:val="en-US" w:eastAsia="zh-CN"/>
              </w:rPr>
            </w:pPr>
          </w:p>
          <w:p>
            <w:pPr>
              <w:pStyle w:val="2"/>
              <w:numPr>
                <w:ilvl w:val="0"/>
                <w:numId w:val="0"/>
              </w:numPr>
              <w:spacing w:line="360" w:lineRule="auto"/>
              <w:ind w:leftChars="0" w:firstLine="420" w:firstLineChars="200"/>
              <w:rPr>
                <w:rFonts w:hint="eastAsia"/>
                <w:sz w:val="21"/>
                <w:szCs w:val="21"/>
                <w:vertAlign w:val="baseline"/>
                <w:lang w:val="en-US" w:eastAsia="zh-CN"/>
              </w:rPr>
            </w:pPr>
          </w:p>
          <w:p>
            <w:pPr>
              <w:spacing w:before="62" w:beforeLines="20" w:line="360" w:lineRule="auto"/>
              <w:rPr>
                <w:rFonts w:hint="eastAsia" w:eastAsia="仿宋_GB2312"/>
                <w:color w:val="000000"/>
                <w:sz w:val="21"/>
                <w:szCs w:val="21"/>
              </w:rPr>
            </w:pPr>
          </w:p>
        </w:tc>
      </w:tr>
    </w:tbl>
    <w:p>
      <w:pPr>
        <w:spacing w:after="0" w:afterLines="0" w:line="360" w:lineRule="auto"/>
        <w:rPr>
          <w:rFonts w:eastAsia="仿宋_GB2312"/>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rPr>
          <w:rFonts w:hint="eastAsia"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八</w:t>
      </w:r>
    </w:p>
    <w:tbl>
      <w:tblPr>
        <w:tblStyle w:val="10"/>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41" w:hRule="atLeast"/>
          <w:jc w:val="center"/>
        </w:trPr>
        <w:tc>
          <w:tcPr>
            <w:tcW w:w="8924" w:type="dxa"/>
            <w:vAlign w:val="top"/>
          </w:tcPr>
          <w:p>
            <w:pPr>
              <w:keepNext w:val="0"/>
              <w:keepLines w:val="0"/>
              <w:pageBreakBefore w:val="0"/>
              <w:widowControl/>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b/>
                <w:bCs/>
                <w:color w:val="000000"/>
                <w:sz w:val="21"/>
                <w:szCs w:val="21"/>
              </w:rPr>
            </w:pPr>
            <w:r>
              <w:rPr>
                <w:rFonts w:hint="eastAsia" w:ascii="宋体" w:hAnsi="宋体" w:eastAsia="宋体"/>
                <w:b/>
                <w:bCs/>
                <w:color w:val="000000"/>
                <w:sz w:val="21"/>
                <w:szCs w:val="21"/>
              </w:rPr>
              <w:t>验收监测结论：</w:t>
            </w:r>
          </w:p>
          <w:p>
            <w:pPr>
              <w:keepNext w:val="0"/>
              <w:keepLines w:val="0"/>
              <w:pageBreakBefore w:val="0"/>
              <w:widowControl/>
              <w:numPr>
                <w:ilvl w:val="0"/>
                <w:numId w:val="11"/>
              </w:numPr>
              <w:kinsoku/>
              <w:wordWrap/>
              <w:overflowPunct/>
              <w:topLinePunct w:val="0"/>
              <w:autoSpaceDE/>
              <w:autoSpaceDN/>
              <w:bidi w:val="0"/>
              <w:adjustRightInd w:val="0"/>
              <w:snapToGrid w:val="0"/>
              <w:spacing w:before="62" w:beforeLines="20" w:after="0" w:line="360" w:lineRule="auto"/>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项目基本情况</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山西兰花科技创业股份有限公司大阳煤矿分公司在其洗煤厂厂区内新建煤泥烘干系统项目</w:t>
            </w:r>
            <w:r>
              <w:rPr>
                <w:rFonts w:hint="eastAsia" w:ascii="Times New Roman" w:hAnsi="Times New Roman" w:cs="Times New Roman"/>
                <w:b w:val="0"/>
                <w:bCs w:val="0"/>
                <w:color w:val="000000"/>
                <w:sz w:val="21"/>
                <w:szCs w:val="21"/>
                <w:lang w:val="en-US" w:eastAsia="zh-CN"/>
              </w:rPr>
              <w:t>。主要建设内容为新建一座1131m</w:t>
            </w:r>
            <w:r>
              <w:rPr>
                <w:rFonts w:hint="eastAsia" w:ascii="Times New Roman" w:hAnsi="Times New Roman" w:cs="Times New Roman"/>
                <w:b w:val="0"/>
                <w:bCs w:val="0"/>
                <w:color w:val="000000"/>
                <w:sz w:val="21"/>
                <w:szCs w:val="21"/>
                <w:vertAlign w:val="superscript"/>
                <w:lang w:val="en-US" w:eastAsia="zh-CN"/>
              </w:rPr>
              <w:t>2</w:t>
            </w:r>
            <w:r>
              <w:rPr>
                <w:rFonts w:hint="eastAsia" w:ascii="Times New Roman" w:hAnsi="Times New Roman" w:cs="Times New Roman"/>
                <w:b w:val="0"/>
                <w:bCs w:val="0"/>
                <w:color w:val="000000"/>
                <w:sz w:val="21"/>
                <w:szCs w:val="21"/>
                <w:lang w:val="en-US" w:eastAsia="zh-CN"/>
              </w:rPr>
              <w:t>烘干车间，三层钢筋混凝土结构，一层主要布置热风炉、滚筒干燥机、干煤泥运输、除尘水泵和车间供配电控制系统等设备，二层布置压滤煤泥运输设备和除尘设备，三层布置压滤设备等。设计年处理湿煤泥5.78万吨/年，烘干后煤泥2.89万吨/年。项目投资总概算531.36万元，环保投资概算184万元，环保投资占总投资概算比例为34.6%；实际总投资为531.36万元，环保投资184万元，环保投资占实际总投资比例为34.6%。</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验收监测结果达标情况</w:t>
            </w:r>
          </w:p>
          <w:p>
            <w:pPr>
              <w:pStyle w:val="2"/>
              <w:keepNext w:val="0"/>
              <w:keepLines w:val="0"/>
              <w:pageBreakBefore w:val="0"/>
              <w:widowControl/>
              <w:numPr>
                <w:ilvl w:val="0"/>
                <w:numId w:val="12"/>
              </w:numPr>
              <w:kinsoku/>
              <w:wordWrap/>
              <w:overflowPunct/>
              <w:topLinePunct w:val="0"/>
              <w:autoSpaceDE/>
              <w:autoSpaceDN/>
              <w:bidi w:val="0"/>
              <w:adjustRightInd w:val="0"/>
              <w:snapToGrid w:val="0"/>
              <w:spacing w:after="0" w:line="360" w:lineRule="auto"/>
              <w:ind w:leftChars="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废气</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①热风炉废气</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Times New Roman" w:hAnsi="Times New Roman" w:eastAsia="宋体" w:cs="Times New Roman"/>
                <w:sz w:val="21"/>
                <w:szCs w:val="21"/>
                <w:lang w:val="en-US" w:eastAsia="zh-CN"/>
              </w:rPr>
              <w:t>热风炉烟气经</w:t>
            </w:r>
            <w:r>
              <w:rPr>
                <w:rFonts w:hint="eastAsia" w:ascii="Times New Roman" w:hAnsi="Times New Roman" w:cs="Times New Roman"/>
                <w:sz w:val="21"/>
                <w:szCs w:val="21"/>
                <w:lang w:val="en-US" w:eastAsia="zh-CN"/>
              </w:rPr>
              <w:t>旋风除尘+</w:t>
            </w:r>
            <w:r>
              <w:rPr>
                <w:rFonts w:hint="eastAsia" w:ascii="Times New Roman" w:hAnsi="Times New Roman" w:eastAsia="宋体" w:cs="Times New Roman"/>
                <w:sz w:val="21"/>
                <w:szCs w:val="21"/>
                <w:lang w:val="en-US" w:eastAsia="zh-CN"/>
              </w:rPr>
              <w:t>气箱脉冲袋式除尘+脱硫塔脱硫处理处理后经2</w:t>
            </w:r>
            <w:r>
              <w:rPr>
                <w:rFonts w:hint="eastAsia" w:ascii="Times New Roman" w:hAnsi="Times New Roman" w:cs="Times New Roman"/>
                <w:sz w:val="21"/>
                <w:szCs w:val="21"/>
                <w:lang w:val="en-US" w:eastAsia="zh-CN"/>
              </w:rPr>
              <w:t>1</w:t>
            </w:r>
            <w:r>
              <w:rPr>
                <w:rFonts w:hint="eastAsia" w:ascii="Times New Roman" w:hAnsi="Times New Roman" w:eastAsia="宋体" w:cs="Times New Roman"/>
                <w:sz w:val="21"/>
                <w:szCs w:val="21"/>
                <w:lang w:val="en-US" w:eastAsia="zh-CN"/>
              </w:rPr>
              <w:t>m高烟囱排放。</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根据验收监测结果，热风炉废气中的颗粒物、SO</w:t>
            </w:r>
            <w:r>
              <w:rPr>
                <w:rFonts w:hint="eastAsia" w:ascii="宋体" w:hAnsi="宋体" w:cs="宋体"/>
                <w:sz w:val="21"/>
                <w:szCs w:val="21"/>
                <w:vertAlign w:val="subscript"/>
                <w:lang w:val="en-US" w:eastAsia="zh-CN"/>
              </w:rPr>
              <w:t>2</w:t>
            </w:r>
            <w:r>
              <w:rPr>
                <w:rFonts w:hint="eastAsia" w:ascii="宋体" w:hAnsi="宋体" w:cs="宋体"/>
                <w:sz w:val="21"/>
                <w:szCs w:val="21"/>
                <w:lang w:val="en-US" w:eastAsia="zh-CN"/>
              </w:rPr>
              <w:t>、NO</w:t>
            </w:r>
            <w:r>
              <w:rPr>
                <w:rFonts w:hint="eastAsia" w:ascii="宋体" w:hAnsi="宋体" w:cs="宋体"/>
                <w:sz w:val="21"/>
                <w:szCs w:val="21"/>
                <w:vertAlign w:val="subscript"/>
                <w:lang w:val="en-US" w:eastAsia="zh-CN"/>
              </w:rPr>
              <w:t>X</w:t>
            </w:r>
            <w:r>
              <w:rPr>
                <w:rFonts w:hint="eastAsia" w:ascii="宋体" w:hAnsi="宋体" w:cs="宋体"/>
                <w:sz w:val="21"/>
                <w:szCs w:val="21"/>
                <w:vertAlign w:val="baseline"/>
                <w:lang w:val="en-US" w:eastAsia="zh-CN"/>
              </w:rPr>
              <w:t>均能</w:t>
            </w:r>
            <w:r>
              <w:rPr>
                <w:rFonts w:hint="eastAsia" w:ascii="宋体" w:hAnsi="宋体"/>
                <w:color w:val="000000"/>
                <w:sz w:val="21"/>
                <w:szCs w:val="21"/>
                <w:lang w:val="en-US" w:eastAsia="zh-CN"/>
              </w:rPr>
              <w:t>达到</w:t>
            </w:r>
            <w:r>
              <w:rPr>
                <w:rFonts w:hint="eastAsia" w:ascii="宋体" w:hAnsi="宋体" w:eastAsia="宋体" w:cs="宋体"/>
                <w:sz w:val="21"/>
                <w:szCs w:val="21"/>
                <w:lang w:val="en-US" w:eastAsia="zh-CN"/>
              </w:rPr>
              <w:t>《锅炉大气污染物排放标准》（GB13271-2014）表3燃煤锅炉大气污染物特别排放限值</w:t>
            </w:r>
            <w:r>
              <w:rPr>
                <w:rFonts w:hint="eastAsia" w:ascii="宋体" w:hAnsi="宋体" w:cs="宋体"/>
                <w:sz w:val="21"/>
                <w:szCs w:val="21"/>
                <w:lang w:val="en-US" w:eastAsia="zh-CN"/>
              </w:rPr>
              <w:t>。</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②厂界无组织颗粒物</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根据验收监测结果，厂界无组织颗粒物</w:t>
            </w:r>
            <w:r>
              <w:rPr>
                <w:rFonts w:hint="eastAsia" w:ascii="宋体" w:hAnsi="宋体"/>
                <w:color w:val="000000"/>
                <w:sz w:val="21"/>
                <w:szCs w:val="21"/>
                <w:lang w:val="en-US" w:eastAsia="zh-CN"/>
              </w:rPr>
              <w:t>能达到</w:t>
            </w:r>
            <w:r>
              <w:rPr>
                <w:rFonts w:hint="eastAsia" w:ascii="宋体" w:hAnsi="宋体" w:eastAsia="宋体" w:cs="宋体"/>
                <w:sz w:val="21"/>
                <w:szCs w:val="21"/>
              </w:rPr>
              <w:t>《煤炭工业污染物排放标准》（GB20426-2006）中表5 无组织排放限值</w:t>
            </w:r>
            <w:r>
              <w:rPr>
                <w:rFonts w:hint="eastAsia" w:ascii="宋体" w:hAnsi="宋体" w:cs="宋体"/>
                <w:sz w:val="21"/>
                <w:szCs w:val="21"/>
                <w:lang w:eastAsia="zh-CN"/>
              </w:rPr>
              <w:t>。</w:t>
            </w:r>
          </w:p>
          <w:p>
            <w:pPr>
              <w:pStyle w:val="2"/>
              <w:keepNext w:val="0"/>
              <w:keepLines w:val="0"/>
              <w:pageBreakBefore w:val="0"/>
              <w:widowControl/>
              <w:numPr>
                <w:ilvl w:val="0"/>
                <w:numId w:val="12"/>
              </w:numPr>
              <w:kinsoku/>
              <w:wordWrap/>
              <w:overflowPunct/>
              <w:topLinePunct w:val="0"/>
              <w:autoSpaceDE/>
              <w:autoSpaceDN/>
              <w:bidi w:val="0"/>
              <w:adjustRightInd w:val="0"/>
              <w:snapToGrid w:val="0"/>
              <w:spacing w:after="0" w:line="360" w:lineRule="auto"/>
              <w:ind w:leftChars="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废水</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车间内不设食宿，职工生活污水依托大阳煤矿；生产废水主要为脱硫塔循环水，脱硫塔循环水</w:t>
            </w:r>
            <w:r>
              <w:rPr>
                <w:rFonts w:hint="eastAsia" w:ascii="宋体" w:hAnsi="宋体" w:eastAsia="宋体" w:cs="宋体"/>
                <w:sz w:val="21"/>
                <w:szCs w:val="21"/>
                <w:lang w:eastAsia="zh-CN"/>
              </w:rPr>
              <w:t>进入车间的沉淀池，经沉淀池沉淀后，上清液循环回用</w:t>
            </w:r>
            <w:r>
              <w:rPr>
                <w:rFonts w:hint="eastAsia" w:ascii="宋体" w:hAnsi="宋体" w:cs="宋体"/>
                <w:sz w:val="21"/>
                <w:szCs w:val="21"/>
                <w:lang w:eastAsia="zh-CN"/>
              </w:rPr>
              <w:t>。对水环境影响较小。</w:t>
            </w:r>
          </w:p>
          <w:p>
            <w:pPr>
              <w:pStyle w:val="2"/>
              <w:keepNext w:val="0"/>
              <w:keepLines w:val="0"/>
              <w:pageBreakBefore w:val="0"/>
              <w:widowControl/>
              <w:numPr>
                <w:ilvl w:val="0"/>
                <w:numId w:val="12"/>
              </w:numPr>
              <w:kinsoku/>
              <w:wordWrap/>
              <w:overflowPunct/>
              <w:topLinePunct w:val="0"/>
              <w:autoSpaceDE/>
              <w:autoSpaceDN/>
              <w:bidi w:val="0"/>
              <w:adjustRightInd w:val="0"/>
              <w:snapToGrid w:val="0"/>
              <w:spacing w:after="0" w:line="360" w:lineRule="auto"/>
              <w:ind w:leftChars="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噪声</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通过选用低噪声设备，从源头上控制噪声的产生；在设备上安装消声器、吸声材料和隔振、减振垫；加强车间外的绿化，种植树木，形成绿色屏障；加强监管，控制工作时间，严禁高噪声设备夜间作业。通过采取以上措施，本项目厂界噪声可达标排放。</w:t>
            </w:r>
          </w:p>
          <w:p>
            <w:pPr>
              <w:pStyle w:val="2"/>
              <w:keepNext w:val="0"/>
              <w:keepLines w:val="0"/>
              <w:pageBreakBefore w:val="0"/>
              <w:widowControl/>
              <w:numPr>
                <w:ilvl w:val="0"/>
                <w:numId w:val="12"/>
              </w:numPr>
              <w:kinsoku/>
              <w:wordWrap/>
              <w:overflowPunct/>
              <w:topLinePunct w:val="0"/>
              <w:autoSpaceDE/>
              <w:autoSpaceDN/>
              <w:bidi w:val="0"/>
              <w:adjustRightInd w:val="0"/>
              <w:snapToGrid w:val="0"/>
              <w:spacing w:after="0" w:line="360" w:lineRule="auto"/>
              <w:ind w:leftChars="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固废</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输送皮带设在全封闭车间内；除尘器除尘灰、热风炉产生的炉渣、脱硫塔脱硫渣全部运至大阳煤矿煤矸石砖厂原料堆作制砖原料；沉淀池底泥送至压滤车间进行压滤，达到综合利用的目的，不外排；员工生活垃圾收集后由大阳煤矿环卫部门定期清理。通过采取以上措施，本项目固体废物可实现合理处置。</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环保手续办理情况</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20" w:firstLineChars="200"/>
              <w:textAlignment w:val="auto"/>
              <w:outlineLvl w:val="9"/>
              <w:rPr>
                <w:rFonts w:hint="default" w:ascii="Times New Roman" w:hAnsi="Times New Roman" w:eastAsia="宋体" w:cs="Times New Roman"/>
                <w:b w:val="0"/>
                <w:bCs w:val="0"/>
                <w:sz w:val="21"/>
                <w:szCs w:val="21"/>
              </w:rPr>
            </w:pPr>
            <w:r>
              <w:rPr>
                <w:rFonts w:hint="eastAsia" w:ascii="Times New Roman" w:hAnsi="Times New Roman" w:eastAsia="宋体" w:cs="Times New Roman"/>
                <w:b w:val="0"/>
                <w:bCs w:val="0"/>
                <w:sz w:val="21"/>
                <w:szCs w:val="21"/>
                <w:lang w:eastAsia="zh-CN"/>
              </w:rPr>
              <w:t>受</w:t>
            </w:r>
            <w:r>
              <w:rPr>
                <w:rFonts w:hint="default" w:ascii="Times New Roman" w:hAnsi="Times New Roman" w:eastAsia="宋体" w:cs="Times New Roman"/>
                <w:b w:val="0"/>
                <w:bCs w:val="0"/>
                <w:color w:val="000000"/>
                <w:sz w:val="21"/>
                <w:szCs w:val="21"/>
              </w:rPr>
              <w:t>山西兰花科技创业股份有限公司大阳煤矿分公司</w:t>
            </w:r>
            <w:r>
              <w:rPr>
                <w:rFonts w:hint="eastAsia" w:ascii="Times New Roman" w:hAnsi="Times New Roman" w:eastAsia="宋体" w:cs="Times New Roman"/>
                <w:b w:val="0"/>
                <w:bCs w:val="0"/>
                <w:sz w:val="21"/>
                <w:szCs w:val="21"/>
                <w:lang w:eastAsia="zh-CN"/>
              </w:rPr>
              <w:t>委托，</w:t>
            </w:r>
            <w:r>
              <w:rPr>
                <w:rFonts w:hint="default" w:ascii="Times New Roman" w:hAnsi="Times New Roman" w:eastAsia="宋体" w:cs="Times New Roman"/>
                <w:b w:val="0"/>
                <w:bCs w:val="0"/>
                <w:sz w:val="21"/>
                <w:szCs w:val="21"/>
              </w:rPr>
              <w:t>北京文华东方环境科技有限公司</w:t>
            </w:r>
            <w:r>
              <w:rPr>
                <w:rFonts w:hint="eastAsia" w:ascii="Times New Roman" w:hAnsi="Times New Roman" w:eastAsia="宋体" w:cs="Times New Roman"/>
                <w:b w:val="0"/>
                <w:bCs w:val="0"/>
                <w:sz w:val="21"/>
                <w:szCs w:val="21"/>
                <w:lang w:eastAsia="zh-CN"/>
              </w:rPr>
              <w:t>于</w:t>
            </w:r>
            <w:r>
              <w:rPr>
                <w:rFonts w:hint="default" w:ascii="Times New Roman" w:hAnsi="Times New Roman" w:eastAsia="宋体" w:cs="Times New Roman"/>
                <w:b w:val="0"/>
                <w:bCs w:val="0"/>
                <w:sz w:val="21"/>
                <w:szCs w:val="21"/>
              </w:rPr>
              <w:t>2017年8月编制</w:t>
            </w:r>
            <w:r>
              <w:rPr>
                <w:rFonts w:hint="eastAsia" w:ascii="Times New Roman" w:hAnsi="Times New Roman" w:eastAsia="宋体" w:cs="Times New Roman"/>
                <w:b w:val="0"/>
                <w:bCs w:val="0"/>
                <w:sz w:val="21"/>
                <w:szCs w:val="21"/>
                <w:lang w:eastAsia="zh-CN"/>
              </w:rPr>
              <w:t>完成</w:t>
            </w:r>
            <w:r>
              <w:rPr>
                <w:rFonts w:hint="default" w:ascii="Times New Roman" w:hAnsi="Times New Roman" w:eastAsia="宋体" w:cs="Times New Roman"/>
                <w:b w:val="0"/>
                <w:bCs w:val="0"/>
                <w:color w:val="000000"/>
                <w:sz w:val="21"/>
                <w:szCs w:val="21"/>
              </w:rPr>
              <w:t>《山西兰花科技创业股份有限公司大阳煤矿分公司煤泥烘干系统建设项目环境影响报告表》，</w:t>
            </w:r>
            <w:r>
              <w:rPr>
                <w:rFonts w:hint="default" w:ascii="Times New Roman" w:hAnsi="Times New Roman" w:eastAsia="宋体" w:cs="Times New Roman"/>
                <w:b w:val="0"/>
                <w:bCs w:val="0"/>
                <w:sz w:val="21"/>
                <w:szCs w:val="21"/>
              </w:rPr>
              <w:t>该项目环评报告于2017年</w:t>
            </w:r>
            <w:r>
              <w:rPr>
                <w:rFonts w:hint="eastAsia" w:ascii="Times New Roman" w:hAnsi="Times New Roman" w:eastAsia="宋体" w:cs="Times New Roman"/>
                <w:b w:val="0"/>
                <w:bCs w:val="0"/>
                <w:sz w:val="21"/>
                <w:szCs w:val="21"/>
                <w:lang w:val="en-US" w:eastAsia="zh-CN"/>
              </w:rPr>
              <w:t>11</w:t>
            </w:r>
            <w:r>
              <w:rPr>
                <w:rFonts w:hint="default" w:ascii="Times New Roman" w:hAnsi="Times New Roman" w:eastAsia="宋体" w:cs="Times New Roman"/>
                <w:b w:val="0"/>
                <w:bCs w:val="0"/>
                <w:sz w:val="21"/>
                <w:szCs w:val="21"/>
              </w:rPr>
              <w:t>月</w:t>
            </w:r>
            <w:r>
              <w:rPr>
                <w:rFonts w:hint="eastAsia" w:ascii="Times New Roman" w:hAnsi="Times New Roman" w:eastAsia="宋体" w:cs="Times New Roman"/>
                <w:b w:val="0"/>
                <w:bCs w:val="0"/>
                <w:sz w:val="21"/>
                <w:szCs w:val="21"/>
                <w:lang w:val="en-US" w:eastAsia="zh-CN"/>
              </w:rPr>
              <w:t>15</w:t>
            </w:r>
            <w:r>
              <w:rPr>
                <w:rFonts w:hint="default" w:ascii="Times New Roman" w:hAnsi="Times New Roman" w:eastAsia="宋体" w:cs="Times New Roman"/>
                <w:b w:val="0"/>
                <w:bCs w:val="0"/>
                <w:sz w:val="21"/>
                <w:szCs w:val="21"/>
              </w:rPr>
              <w:t>日通过</w:t>
            </w:r>
            <w:r>
              <w:rPr>
                <w:rFonts w:hint="eastAsia" w:ascii="Times New Roman" w:hAnsi="Times New Roman" w:eastAsia="宋体" w:cs="Times New Roman"/>
                <w:b w:val="0"/>
                <w:bCs w:val="0"/>
                <w:sz w:val="21"/>
                <w:szCs w:val="21"/>
                <w:lang w:eastAsia="zh-CN"/>
              </w:rPr>
              <w:t>晋城市</w:t>
            </w:r>
            <w:r>
              <w:rPr>
                <w:rFonts w:hint="default" w:ascii="Times New Roman" w:hAnsi="Times New Roman" w:eastAsia="宋体" w:cs="Times New Roman"/>
                <w:b w:val="0"/>
                <w:bCs w:val="0"/>
                <w:sz w:val="21"/>
                <w:szCs w:val="21"/>
              </w:rPr>
              <w:t>环境保护局审批，审批文号为</w:t>
            </w:r>
            <w:r>
              <w:rPr>
                <w:rFonts w:hint="eastAsia" w:ascii="Times New Roman" w:hAnsi="Times New Roman" w:eastAsia="宋体" w:cs="Times New Roman"/>
                <w:b w:val="0"/>
                <w:bCs w:val="0"/>
                <w:sz w:val="21"/>
                <w:szCs w:val="21"/>
                <w:lang w:eastAsia="zh-CN"/>
              </w:rPr>
              <w:t>晋市环审</w:t>
            </w:r>
            <w:r>
              <w:rPr>
                <w:rFonts w:hint="default" w:ascii="Times New Roman" w:hAnsi="Times New Roman" w:eastAsia="宋体" w:cs="Times New Roman"/>
                <w:b w:val="0"/>
                <w:bCs w:val="0"/>
                <w:sz w:val="21"/>
                <w:szCs w:val="21"/>
              </w:rPr>
              <w:t>[2017]94号。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sz w:val="21"/>
                <w:szCs w:val="21"/>
                <w:lang w:val="en-US" w:eastAsia="zh-CN"/>
              </w:rPr>
              <w:t>因本项目新增了1个废气排放口，根据《排污许可管理办法》的有关规定，</w:t>
            </w:r>
            <w:r>
              <w:rPr>
                <w:rFonts w:hint="default" w:ascii="Times New Roman" w:hAnsi="Times New Roman" w:eastAsia="宋体" w:cs="Times New Roman"/>
                <w:b w:val="0"/>
                <w:bCs w:val="0"/>
                <w:color w:val="000000"/>
                <w:sz w:val="21"/>
                <w:szCs w:val="21"/>
              </w:rPr>
              <w:t>山西兰花科技创业股份有限公司大阳煤矿分公司</w:t>
            </w:r>
            <w:r>
              <w:rPr>
                <w:rFonts w:hint="eastAsia" w:ascii="Times New Roman" w:hAnsi="Times New Roman" w:eastAsia="宋体" w:cs="Times New Roman"/>
                <w:b w:val="0"/>
                <w:bCs w:val="0"/>
                <w:color w:val="000000"/>
                <w:sz w:val="21"/>
                <w:szCs w:val="21"/>
                <w:lang w:eastAsia="zh-CN"/>
              </w:rPr>
              <w:t>于</w:t>
            </w:r>
            <w:r>
              <w:rPr>
                <w:rFonts w:hint="eastAsia" w:ascii="Times New Roman" w:hAnsi="Times New Roman" w:eastAsia="宋体" w:cs="Times New Roman"/>
                <w:b w:val="0"/>
                <w:bCs w:val="0"/>
                <w:color w:val="000000"/>
                <w:sz w:val="21"/>
                <w:szCs w:val="21"/>
                <w:lang w:val="en-US" w:eastAsia="zh-CN"/>
              </w:rPr>
              <w:t>6月22日向晋城市环境保护局提交了变更排污许可证的申请，并于2018年7月23日取得了变更后的排污许可证，排污许可证编号：14052506100313-0500。</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总量指标</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根据监测结果，以热风炉废气出口最大排放速率值计算得出项目污染物排放总量为：</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颗粒物总量：0.187kg/h×16h/d×330d/a=987kg/a=0.987t/a</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SO</w:t>
            </w:r>
            <w:r>
              <w:rPr>
                <w:rFonts w:hint="eastAsia" w:ascii="宋体" w:hAnsi="宋体" w:cs="宋体"/>
                <w:sz w:val="21"/>
                <w:szCs w:val="21"/>
                <w:vertAlign w:val="subscript"/>
                <w:lang w:val="en-US" w:eastAsia="zh-CN"/>
              </w:rPr>
              <w:t>2</w:t>
            </w:r>
            <w:r>
              <w:rPr>
                <w:rFonts w:hint="eastAsia" w:ascii="宋体" w:hAnsi="宋体" w:cs="宋体"/>
                <w:sz w:val="21"/>
                <w:szCs w:val="21"/>
                <w:lang w:val="en-US" w:eastAsia="zh-CN"/>
              </w:rPr>
              <w:t>总量：0.244kg/h×16h/d×330d/a=1288kg/a=1.288t/a</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NO</w:t>
            </w:r>
            <w:r>
              <w:rPr>
                <w:rFonts w:hint="eastAsia" w:ascii="宋体" w:hAnsi="宋体" w:cs="宋体"/>
                <w:sz w:val="21"/>
                <w:szCs w:val="21"/>
                <w:vertAlign w:val="subscript"/>
                <w:lang w:val="en-US" w:eastAsia="zh-CN"/>
              </w:rPr>
              <w:t>X</w:t>
            </w:r>
            <w:r>
              <w:rPr>
                <w:rFonts w:hint="eastAsia" w:ascii="宋体" w:hAnsi="宋体" w:cs="宋体"/>
                <w:sz w:val="21"/>
                <w:szCs w:val="21"/>
                <w:lang w:val="en-US" w:eastAsia="zh-CN"/>
              </w:rPr>
              <w:t>总量：1.06kg/h×16h/d×330d/a=5597kg/a=5.597t/a</w:t>
            </w:r>
          </w:p>
          <w:tbl>
            <w:tblPr>
              <w:tblStyle w:val="11"/>
              <w:tblW w:w="87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575"/>
              <w:gridCol w:w="1845"/>
              <w:gridCol w:w="1742"/>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04"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序号</w:t>
                  </w:r>
                </w:p>
              </w:tc>
              <w:tc>
                <w:tcPr>
                  <w:tcW w:w="257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项目</w:t>
                  </w:r>
                </w:p>
              </w:tc>
              <w:tc>
                <w:tcPr>
                  <w:tcW w:w="184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颗粒物</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Times New Roman" w:hAnsi="Times New Roman" w:eastAsia="宋体" w:cs="Times New Roman"/>
                      <w:b w:val="0"/>
                      <w:bCs w:val="0"/>
                      <w:kern w:val="0"/>
                      <w:sz w:val="18"/>
                      <w:szCs w:val="18"/>
                      <w:lang w:val="en-US" w:eastAsia="zh-CN"/>
                    </w:rPr>
                    <w:t>SO</w:t>
                  </w:r>
                  <w:r>
                    <w:rPr>
                      <w:rFonts w:hint="eastAsia" w:ascii="Times New Roman" w:hAnsi="Times New Roman" w:eastAsia="宋体" w:cs="Times New Roman"/>
                      <w:b w:val="0"/>
                      <w:bCs w:val="0"/>
                      <w:kern w:val="0"/>
                      <w:sz w:val="18"/>
                      <w:szCs w:val="18"/>
                      <w:vertAlign w:val="subscript"/>
                      <w:lang w:val="en-US" w:eastAsia="zh-CN"/>
                    </w:rPr>
                    <w:t>2</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Times New Roman" w:hAnsi="Times New Roman" w:eastAsia="宋体" w:cs="Times New Roman"/>
                      <w:b w:val="0"/>
                      <w:bCs w:val="0"/>
                      <w:kern w:val="0"/>
                      <w:sz w:val="18"/>
                      <w:szCs w:val="18"/>
                      <w:lang w:val="en-US" w:eastAsia="zh-CN"/>
                    </w:rPr>
                    <w:t>NOx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04"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1</w:t>
                  </w:r>
                </w:p>
              </w:tc>
              <w:tc>
                <w:tcPr>
                  <w:tcW w:w="257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污染物排放总量（t/a）</w:t>
                  </w:r>
                </w:p>
              </w:tc>
              <w:tc>
                <w:tcPr>
                  <w:tcW w:w="184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0.987</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1.288</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cs="宋体"/>
                      <w:kern w:val="0"/>
                      <w:sz w:val="18"/>
                      <w:szCs w:val="18"/>
                      <w:vertAlign w:val="baseline"/>
                      <w:lang w:val="en-US" w:eastAsia="zh-CN"/>
                    </w:rPr>
                    <w:t>5.597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04"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2</w:t>
                  </w:r>
                </w:p>
              </w:tc>
              <w:tc>
                <w:tcPr>
                  <w:tcW w:w="257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排污许可证许可排放量（t/a）</w:t>
                  </w:r>
                </w:p>
              </w:tc>
              <w:tc>
                <w:tcPr>
                  <w:tcW w:w="184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1.547</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4.614</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15.27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379" w:type="dxa"/>
                  <w:gridSpan w:val="2"/>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是否满足总量指标</w:t>
                  </w:r>
                </w:p>
              </w:tc>
              <w:tc>
                <w:tcPr>
                  <w:tcW w:w="1845"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满足</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满足</w:t>
                  </w:r>
                </w:p>
              </w:tc>
              <w:tc>
                <w:tcPr>
                  <w:tcW w:w="1742" w:type="dxa"/>
                  <w:tcBorders>
                    <w:tl2br w:val="nil"/>
                    <w:tr2bl w:val="nil"/>
                  </w:tcBorders>
                  <w:vAlign w:val="center"/>
                </w:tcPr>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宋体" w:hAnsi="宋体" w:eastAsia="宋体" w:cs="宋体"/>
                      <w:kern w:val="0"/>
                      <w:sz w:val="18"/>
                      <w:szCs w:val="18"/>
                      <w:vertAlign w:val="baseline"/>
                      <w:lang w:val="en-US" w:eastAsia="zh-CN"/>
                    </w:rPr>
                  </w:pPr>
                  <w:r>
                    <w:rPr>
                      <w:rFonts w:hint="eastAsia" w:ascii="宋体" w:hAnsi="宋体" w:eastAsia="宋体" w:cs="宋体"/>
                      <w:kern w:val="0"/>
                      <w:sz w:val="18"/>
                      <w:szCs w:val="18"/>
                      <w:vertAlign w:val="baseline"/>
                      <w:lang w:val="en-US" w:eastAsia="zh-CN"/>
                    </w:rPr>
                    <w:t>满足</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综上，项目污染物排放能满足总量控制指标的要求。</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验收结论</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textAlignment w:val="auto"/>
              <w:outlineLvl w:val="9"/>
              <w:rPr>
                <w:rFonts w:hint="eastAsia" w:ascii="宋体" w:hAnsi="宋体" w:eastAsia="宋体" w:cs="宋体"/>
                <w:sz w:val="21"/>
                <w:szCs w:val="21"/>
                <w:lang w:val="en-US" w:eastAsia="zh-CN"/>
              </w:rPr>
            </w:pPr>
            <w:r>
              <w:rPr>
                <w:rFonts w:hint="default" w:ascii="Times New Roman" w:hAnsi="Times New Roman" w:eastAsia="宋体" w:cs="Times New Roman"/>
                <w:sz w:val="21"/>
                <w:szCs w:val="21"/>
              </w:rPr>
              <w:t>综上分析，项目已按环评及批复要求进行了环境保护设施建设，根据监测结果</w:t>
            </w:r>
            <w:r>
              <w:rPr>
                <w:rFonts w:hint="eastAsia" w:ascii="Times New Roman" w:hAnsi="Times New Roman" w:eastAsia="宋体" w:cs="Times New Roman"/>
                <w:sz w:val="21"/>
                <w:szCs w:val="21"/>
                <w:lang w:eastAsia="zh-CN"/>
              </w:rPr>
              <w:t>和现场检查情况，</w:t>
            </w:r>
            <w:r>
              <w:rPr>
                <w:rFonts w:hint="default" w:ascii="Times New Roman" w:hAnsi="Times New Roman" w:eastAsia="宋体" w:cs="Times New Roman"/>
                <w:sz w:val="21"/>
                <w:szCs w:val="21"/>
              </w:rPr>
              <w:t>可满足相关环境排放标准要求</w:t>
            </w:r>
            <w:r>
              <w:rPr>
                <w:rFonts w:hint="eastAsia" w:ascii="Times New Roman" w:hAnsi="Times New Roman" w:eastAsia="宋体" w:cs="Times New Roman"/>
                <w:sz w:val="21"/>
                <w:szCs w:val="21"/>
                <w:lang w:eastAsia="zh-CN"/>
              </w:rPr>
              <w:t>和环境管理要求</w:t>
            </w:r>
            <w:r>
              <w:rPr>
                <w:rFonts w:hint="default" w:ascii="Times New Roman" w:hAnsi="Times New Roman" w:eastAsia="宋体" w:cs="Times New Roman"/>
                <w:sz w:val="21"/>
                <w:szCs w:val="21"/>
              </w:rPr>
              <w:t>。</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（1）加强环境保护设备的管理和维护、保养工作，保证其正常运行，确保各类污染物长期、稳定地达标排放；</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（2）加强对厂区固体废物的管理，严禁产生二次污染；</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9"/>
              <w:rPr>
                <w:rFonts w:hint="eastAsia" w:eastAsia="仿宋_GB2312"/>
                <w:color w:val="000000"/>
                <w:sz w:val="21"/>
                <w:szCs w:val="21"/>
              </w:rPr>
            </w:pPr>
            <w:r>
              <w:rPr>
                <w:rFonts w:hint="eastAsia" w:ascii="宋体" w:hAnsi="宋体" w:eastAsia="宋体" w:cs="宋体"/>
                <w:sz w:val="21"/>
                <w:szCs w:val="21"/>
                <w:lang w:val="en-US" w:eastAsia="zh-CN"/>
              </w:rPr>
              <w:t xml:space="preserve">    （3）安排专人负责本项目的环境保护工作。</w:t>
            </w:r>
          </w:p>
          <w:p>
            <w:pPr>
              <w:widowControl w:val="0"/>
              <w:spacing w:before="62" w:beforeLines="20" w:after="0" w:afterLines="0" w:line="360" w:lineRule="auto"/>
              <w:jc w:val="both"/>
              <w:rPr>
                <w:rFonts w:eastAsia="仿宋_GB2312"/>
                <w:color w:val="000000"/>
                <w:sz w:val="21"/>
                <w:szCs w:val="21"/>
              </w:rPr>
            </w:pPr>
          </w:p>
        </w:tc>
      </w:tr>
    </w:tbl>
    <w:p/>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0" w:afterLines="0"/>
      <w:ind w:right="360" w:firstLine="360"/>
      <w:jc w:val="center"/>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after="0" w:afterLines="0"/>
                            <w:rPr>
                              <w:rStyle w:val="9"/>
                              <w:rFonts w:hint="eastAsia" w:ascii="宋体" w:hAnsi="宋体" w:eastAsia="宋体"/>
                              <w:sz w:val="28"/>
                              <w:szCs w:val="28"/>
                            </w:rPr>
                          </w:pPr>
                          <w:r>
                            <w:rPr>
                              <w:rStyle w:val="9"/>
                              <w:rFonts w:hint="eastAsia" w:ascii="宋体" w:hAnsi="宋体" w:eastAsia="宋体"/>
                              <w:sz w:val="28"/>
                              <w:szCs w:val="28"/>
                            </w:rPr>
                            <w:t>—</w:t>
                          </w:r>
                          <w:r>
                            <w:rPr>
                              <w:rStyle w:val="9"/>
                              <w:rFonts w:hint="eastAsia" w:ascii="宋体" w:hAnsi="宋体" w:eastAsia="宋体"/>
                              <w:sz w:val="20"/>
                              <w:szCs w:val="20"/>
                            </w:rPr>
                            <w:t xml:space="preserve">  </w:t>
                          </w:r>
                          <w:r>
                            <w:rPr>
                              <w:rFonts w:ascii="宋体" w:hAnsi="宋体" w:eastAsia="宋体"/>
                              <w:sz w:val="26"/>
                              <w:szCs w:val="26"/>
                            </w:rPr>
                            <w:fldChar w:fldCharType="begin"/>
                          </w:r>
                          <w:r>
                            <w:rPr>
                              <w:rStyle w:val="9"/>
                              <w:rFonts w:ascii="宋体" w:hAnsi="宋体" w:eastAsia="宋体"/>
                              <w:sz w:val="26"/>
                              <w:szCs w:val="26"/>
                            </w:rPr>
                            <w:instrText xml:space="preserve">PAGE  </w:instrText>
                          </w:r>
                          <w:r>
                            <w:rPr>
                              <w:rFonts w:ascii="宋体" w:hAnsi="宋体" w:eastAsia="宋体"/>
                              <w:sz w:val="26"/>
                              <w:szCs w:val="26"/>
                            </w:rPr>
                            <w:fldChar w:fldCharType="separate"/>
                          </w:r>
                          <w:r>
                            <w:rPr>
                              <w:rStyle w:val="9"/>
                              <w:rFonts w:ascii="宋体" w:hAnsi="宋体" w:eastAsia="宋体"/>
                              <w:sz w:val="26"/>
                              <w:szCs w:val="26"/>
                            </w:rPr>
                            <w:t>38</w:t>
                          </w:r>
                          <w:r>
                            <w:rPr>
                              <w:rFonts w:ascii="宋体" w:hAnsi="宋体" w:eastAsia="宋体"/>
                              <w:sz w:val="26"/>
                              <w:szCs w:val="26"/>
                            </w:rPr>
                            <w:fldChar w:fldCharType="end"/>
                          </w:r>
                          <w:r>
                            <w:rPr>
                              <w:rStyle w:val="9"/>
                              <w:rFonts w:hint="eastAsia" w:ascii="宋体" w:hAnsi="宋体" w:eastAsia="宋体"/>
                              <w:sz w:val="20"/>
                              <w:szCs w:val="20"/>
                            </w:rPr>
                            <w:t xml:space="preserve">  </w:t>
                          </w:r>
                          <w:r>
                            <w:rPr>
                              <w:rStyle w:val="9"/>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6"/>
                      <w:spacing w:after="0" w:afterLines="0"/>
                      <w:rPr>
                        <w:rStyle w:val="9"/>
                        <w:rFonts w:hint="eastAsia" w:ascii="宋体" w:hAnsi="宋体" w:eastAsia="宋体"/>
                        <w:sz w:val="28"/>
                        <w:szCs w:val="28"/>
                      </w:rPr>
                    </w:pPr>
                    <w:r>
                      <w:rPr>
                        <w:rStyle w:val="9"/>
                        <w:rFonts w:hint="eastAsia" w:ascii="宋体" w:hAnsi="宋体" w:eastAsia="宋体"/>
                        <w:sz w:val="28"/>
                        <w:szCs w:val="28"/>
                      </w:rPr>
                      <w:t>—</w:t>
                    </w:r>
                    <w:r>
                      <w:rPr>
                        <w:rStyle w:val="9"/>
                        <w:rFonts w:hint="eastAsia" w:ascii="宋体" w:hAnsi="宋体" w:eastAsia="宋体"/>
                        <w:sz w:val="20"/>
                        <w:szCs w:val="20"/>
                      </w:rPr>
                      <w:t xml:space="preserve">  </w:t>
                    </w:r>
                    <w:r>
                      <w:rPr>
                        <w:rFonts w:ascii="宋体" w:hAnsi="宋体" w:eastAsia="宋体"/>
                        <w:sz w:val="26"/>
                        <w:szCs w:val="26"/>
                      </w:rPr>
                      <w:fldChar w:fldCharType="begin"/>
                    </w:r>
                    <w:r>
                      <w:rPr>
                        <w:rStyle w:val="9"/>
                        <w:rFonts w:ascii="宋体" w:hAnsi="宋体" w:eastAsia="宋体"/>
                        <w:sz w:val="26"/>
                        <w:szCs w:val="26"/>
                      </w:rPr>
                      <w:instrText xml:space="preserve">PAGE  </w:instrText>
                    </w:r>
                    <w:r>
                      <w:rPr>
                        <w:rFonts w:ascii="宋体" w:hAnsi="宋体" w:eastAsia="宋体"/>
                        <w:sz w:val="26"/>
                        <w:szCs w:val="26"/>
                      </w:rPr>
                      <w:fldChar w:fldCharType="separate"/>
                    </w:r>
                    <w:r>
                      <w:rPr>
                        <w:rStyle w:val="9"/>
                        <w:rFonts w:ascii="宋体" w:hAnsi="宋体" w:eastAsia="宋体"/>
                        <w:sz w:val="26"/>
                        <w:szCs w:val="26"/>
                      </w:rPr>
                      <w:t>38</w:t>
                    </w:r>
                    <w:r>
                      <w:rPr>
                        <w:rFonts w:ascii="宋体" w:hAnsi="宋体" w:eastAsia="宋体"/>
                        <w:sz w:val="26"/>
                        <w:szCs w:val="26"/>
                      </w:rPr>
                      <w:fldChar w:fldCharType="end"/>
                    </w:r>
                    <w:r>
                      <w:rPr>
                        <w:rStyle w:val="9"/>
                        <w:rFonts w:hint="eastAsia" w:ascii="宋体" w:hAnsi="宋体" w:eastAsia="宋体"/>
                        <w:sz w:val="20"/>
                        <w:szCs w:val="20"/>
                      </w:rPr>
                      <w:t xml:space="preserve">  </w:t>
                    </w:r>
                    <w:r>
                      <w:rPr>
                        <w:rStyle w:val="9"/>
                        <w:rFonts w:hint="eastAsia" w:ascii="宋体" w:hAnsi="宋体" w:eastAsia="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B5EC9A"/>
    <w:multiLevelType w:val="singleLevel"/>
    <w:tmpl w:val="A8B5EC9A"/>
    <w:lvl w:ilvl="0" w:tentative="0">
      <w:start w:val="1"/>
      <w:numFmt w:val="decimal"/>
      <w:suff w:val="nothing"/>
      <w:lvlText w:val="%1、"/>
      <w:lvlJc w:val="left"/>
    </w:lvl>
  </w:abstractNum>
  <w:abstractNum w:abstractNumId="1">
    <w:nsid w:val="B07FEF64"/>
    <w:multiLevelType w:val="singleLevel"/>
    <w:tmpl w:val="B07FEF64"/>
    <w:lvl w:ilvl="0" w:tentative="0">
      <w:start w:val="4"/>
      <w:numFmt w:val="chineseCounting"/>
      <w:suff w:val="nothing"/>
      <w:lvlText w:val="%1、"/>
      <w:lvlJc w:val="left"/>
      <w:rPr>
        <w:rFonts w:hint="eastAsia"/>
      </w:rPr>
    </w:lvl>
  </w:abstractNum>
  <w:abstractNum w:abstractNumId="2">
    <w:nsid w:val="CF2EE6B7"/>
    <w:multiLevelType w:val="singleLevel"/>
    <w:tmpl w:val="CF2EE6B7"/>
    <w:lvl w:ilvl="0" w:tentative="0">
      <w:start w:val="1"/>
      <w:numFmt w:val="decimal"/>
      <w:suff w:val="nothing"/>
      <w:lvlText w:val="（%1）"/>
      <w:lvlJc w:val="left"/>
      <w:pPr>
        <w:ind w:left="420" w:leftChars="0" w:firstLine="0" w:firstLineChars="0"/>
      </w:pPr>
    </w:lvl>
  </w:abstractNum>
  <w:abstractNum w:abstractNumId="3">
    <w:nsid w:val="DF2C82D8"/>
    <w:multiLevelType w:val="singleLevel"/>
    <w:tmpl w:val="DF2C82D8"/>
    <w:lvl w:ilvl="0" w:tentative="0">
      <w:start w:val="1"/>
      <w:numFmt w:val="chineseCounting"/>
      <w:suff w:val="nothing"/>
      <w:lvlText w:val="%1、"/>
      <w:lvlJc w:val="left"/>
      <w:rPr>
        <w:rFonts w:hint="eastAsia"/>
      </w:rPr>
    </w:lvl>
  </w:abstractNum>
  <w:abstractNum w:abstractNumId="4">
    <w:nsid w:val="E74EEF6A"/>
    <w:multiLevelType w:val="singleLevel"/>
    <w:tmpl w:val="E74EEF6A"/>
    <w:lvl w:ilvl="0" w:tentative="0">
      <w:start w:val="4"/>
      <w:numFmt w:val="decimal"/>
      <w:suff w:val="nothing"/>
      <w:lvlText w:val="%1、"/>
      <w:lvlJc w:val="left"/>
    </w:lvl>
  </w:abstractNum>
  <w:abstractNum w:abstractNumId="5">
    <w:nsid w:val="0D32CF60"/>
    <w:multiLevelType w:val="singleLevel"/>
    <w:tmpl w:val="0D32CF60"/>
    <w:lvl w:ilvl="0" w:tentative="0">
      <w:start w:val="1"/>
      <w:numFmt w:val="decimal"/>
      <w:suff w:val="nothing"/>
      <w:lvlText w:val="%1、"/>
      <w:lvlJc w:val="left"/>
    </w:lvl>
  </w:abstractNum>
  <w:abstractNum w:abstractNumId="6">
    <w:nsid w:val="3DB66465"/>
    <w:multiLevelType w:val="singleLevel"/>
    <w:tmpl w:val="3DB66465"/>
    <w:lvl w:ilvl="0" w:tentative="0">
      <w:start w:val="3"/>
      <w:numFmt w:val="chineseCounting"/>
      <w:suff w:val="nothing"/>
      <w:lvlText w:val="%1、"/>
      <w:lvlJc w:val="left"/>
      <w:rPr>
        <w:rFonts w:hint="eastAsia"/>
      </w:rPr>
    </w:lvl>
  </w:abstractNum>
  <w:abstractNum w:abstractNumId="7">
    <w:nsid w:val="52C6FDA9"/>
    <w:multiLevelType w:val="singleLevel"/>
    <w:tmpl w:val="52C6FDA9"/>
    <w:lvl w:ilvl="0" w:tentative="0">
      <w:start w:val="1"/>
      <w:numFmt w:val="decimal"/>
      <w:suff w:val="nothing"/>
      <w:lvlText w:val="（%1）"/>
      <w:lvlJc w:val="left"/>
    </w:lvl>
  </w:abstractNum>
  <w:abstractNum w:abstractNumId="8">
    <w:nsid w:val="59F3FC95"/>
    <w:multiLevelType w:val="singleLevel"/>
    <w:tmpl w:val="59F3FC95"/>
    <w:lvl w:ilvl="0" w:tentative="0">
      <w:start w:val="5"/>
      <w:numFmt w:val="decimal"/>
      <w:suff w:val="nothing"/>
      <w:lvlText w:val="%1、"/>
      <w:lvlJc w:val="left"/>
    </w:lvl>
  </w:abstractNum>
  <w:abstractNum w:abstractNumId="9">
    <w:nsid w:val="5AE4E975"/>
    <w:multiLevelType w:val="singleLevel"/>
    <w:tmpl w:val="5AE4E975"/>
    <w:lvl w:ilvl="0" w:tentative="0">
      <w:start w:val="1"/>
      <w:numFmt w:val="decimal"/>
      <w:suff w:val="nothing"/>
      <w:lvlText w:val="%1、"/>
      <w:lvlJc w:val="left"/>
    </w:lvl>
  </w:abstractNum>
  <w:abstractNum w:abstractNumId="10">
    <w:nsid w:val="6423F53F"/>
    <w:multiLevelType w:val="singleLevel"/>
    <w:tmpl w:val="6423F53F"/>
    <w:lvl w:ilvl="0" w:tentative="0">
      <w:start w:val="1"/>
      <w:numFmt w:val="decimal"/>
      <w:suff w:val="nothing"/>
      <w:lvlText w:val="%1、"/>
      <w:lvlJc w:val="left"/>
    </w:lvl>
  </w:abstractNum>
  <w:abstractNum w:abstractNumId="11">
    <w:nsid w:val="77689E7C"/>
    <w:multiLevelType w:val="singleLevel"/>
    <w:tmpl w:val="77689E7C"/>
    <w:lvl w:ilvl="0" w:tentative="0">
      <w:start w:val="1"/>
      <w:numFmt w:val="decimal"/>
      <w:suff w:val="nothing"/>
      <w:lvlText w:val="%1、"/>
      <w:lvlJc w:val="left"/>
    </w:lvl>
  </w:abstractNum>
  <w:num w:numId="1">
    <w:abstractNumId w:val="0"/>
  </w:num>
  <w:num w:numId="2">
    <w:abstractNumId w:val="8"/>
  </w:num>
  <w:num w:numId="3">
    <w:abstractNumId w:val="4"/>
  </w:num>
  <w:num w:numId="4">
    <w:abstractNumId w:val="3"/>
  </w:num>
  <w:num w:numId="5">
    <w:abstractNumId w:val="1"/>
  </w:num>
  <w:num w:numId="6">
    <w:abstractNumId w:val="6"/>
  </w:num>
  <w:num w:numId="7">
    <w:abstractNumId w:val="9"/>
  </w:num>
  <w:num w:numId="8">
    <w:abstractNumId w:val="10"/>
  </w:num>
  <w:num w:numId="9">
    <w:abstractNumId w:val="2"/>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E2E30"/>
    <w:rsid w:val="01C32D76"/>
    <w:rsid w:val="04A00808"/>
    <w:rsid w:val="058B6EBF"/>
    <w:rsid w:val="05E5046F"/>
    <w:rsid w:val="06751EAF"/>
    <w:rsid w:val="086C242A"/>
    <w:rsid w:val="086E151B"/>
    <w:rsid w:val="08921710"/>
    <w:rsid w:val="08D10E00"/>
    <w:rsid w:val="091F300A"/>
    <w:rsid w:val="0D2A4946"/>
    <w:rsid w:val="0D4D60D5"/>
    <w:rsid w:val="10B73FEF"/>
    <w:rsid w:val="143D19D8"/>
    <w:rsid w:val="151D2497"/>
    <w:rsid w:val="167275EA"/>
    <w:rsid w:val="18683EB5"/>
    <w:rsid w:val="19E153CB"/>
    <w:rsid w:val="1B416463"/>
    <w:rsid w:val="1BFE724B"/>
    <w:rsid w:val="1C311CF1"/>
    <w:rsid w:val="1DAD0154"/>
    <w:rsid w:val="1F022531"/>
    <w:rsid w:val="1F597211"/>
    <w:rsid w:val="1FCF1E83"/>
    <w:rsid w:val="1FFC3A70"/>
    <w:rsid w:val="229F6C77"/>
    <w:rsid w:val="22CD5A3A"/>
    <w:rsid w:val="2426170A"/>
    <w:rsid w:val="252A4762"/>
    <w:rsid w:val="29EB1B68"/>
    <w:rsid w:val="2F076FAF"/>
    <w:rsid w:val="31963350"/>
    <w:rsid w:val="31F917EE"/>
    <w:rsid w:val="32C74782"/>
    <w:rsid w:val="353075C7"/>
    <w:rsid w:val="35853F1A"/>
    <w:rsid w:val="364B10A5"/>
    <w:rsid w:val="385923CD"/>
    <w:rsid w:val="38594306"/>
    <w:rsid w:val="3B754E6D"/>
    <w:rsid w:val="3B814D79"/>
    <w:rsid w:val="3BA209A9"/>
    <w:rsid w:val="3D025AAB"/>
    <w:rsid w:val="3DF647B9"/>
    <w:rsid w:val="3E257C35"/>
    <w:rsid w:val="3E313F00"/>
    <w:rsid w:val="3E7532E7"/>
    <w:rsid w:val="3F040F20"/>
    <w:rsid w:val="3FEB3087"/>
    <w:rsid w:val="44A61A69"/>
    <w:rsid w:val="46A37DF1"/>
    <w:rsid w:val="48610775"/>
    <w:rsid w:val="486166F9"/>
    <w:rsid w:val="48FF7A66"/>
    <w:rsid w:val="499F06E5"/>
    <w:rsid w:val="4B6B284E"/>
    <w:rsid w:val="4B741D5F"/>
    <w:rsid w:val="4F1E0688"/>
    <w:rsid w:val="52576592"/>
    <w:rsid w:val="53EC77E8"/>
    <w:rsid w:val="545959AB"/>
    <w:rsid w:val="55302E52"/>
    <w:rsid w:val="569D49A1"/>
    <w:rsid w:val="57515F99"/>
    <w:rsid w:val="5BFE01F3"/>
    <w:rsid w:val="5C2433DB"/>
    <w:rsid w:val="5C2E4785"/>
    <w:rsid w:val="5C887012"/>
    <w:rsid w:val="5F754940"/>
    <w:rsid w:val="61137535"/>
    <w:rsid w:val="61C921E7"/>
    <w:rsid w:val="62AC6AB2"/>
    <w:rsid w:val="67FE5699"/>
    <w:rsid w:val="69D04E10"/>
    <w:rsid w:val="6A122190"/>
    <w:rsid w:val="6E504680"/>
    <w:rsid w:val="6E8C1AE1"/>
    <w:rsid w:val="6EAC6615"/>
    <w:rsid w:val="71BC0ADC"/>
    <w:rsid w:val="72045C5C"/>
    <w:rsid w:val="72D5119F"/>
    <w:rsid w:val="72E20FAC"/>
    <w:rsid w:val="779C76B4"/>
    <w:rsid w:val="7913619C"/>
    <w:rsid w:val="7DD51B7D"/>
    <w:rsid w:val="7DF32D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99"/>
    <w:pPr>
      <w:spacing w:line="480" w:lineRule="atLeast"/>
      <w:outlineLvl w:val="0"/>
    </w:pPr>
    <w:rPr>
      <w:rFonts w:ascii="宋体" w:hAnsi="宋体" w:eastAsia="宋体" w:cs="宋体"/>
      <w:b/>
      <w:bCs/>
      <w:sz w:val="30"/>
      <w:szCs w:val="30"/>
    </w:rPr>
  </w:style>
  <w:style w:type="paragraph" w:styleId="4">
    <w:name w:val="heading 2"/>
    <w:basedOn w:val="3"/>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kern w:val="2"/>
      <w:sz w:val="21"/>
      <w:szCs w:val="32"/>
    </w:rPr>
  </w:style>
  <w:style w:type="paragraph" w:styleId="5">
    <w:name w:val="heading 3"/>
    <w:basedOn w:val="1"/>
    <w:next w:val="1"/>
    <w:qFormat/>
    <w:uiPriority w:val="99"/>
    <w:pPr>
      <w:spacing w:line="480" w:lineRule="atLeast"/>
      <w:outlineLvl w:val="2"/>
    </w:pPr>
    <w:rPr>
      <w:rFonts w:ascii="宋体" w:hAnsi="宋体" w:eastAsia="宋体" w:cs="宋体"/>
      <w:sz w:val="24"/>
      <w:szCs w:val="24"/>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Normal Indent"/>
    <w:basedOn w:val="1"/>
    <w:qFormat/>
    <w:uiPriority w:val="99"/>
    <w:pPr>
      <w:ind w:firstLine="420" w:firstLineChars="200"/>
    </w:pPr>
    <w:rPr>
      <w:rFonts w:eastAsia="宋体"/>
    </w:rPr>
  </w:style>
  <w:style w:type="paragraph" w:styleId="6">
    <w:name w:val="footer"/>
    <w:basedOn w:val="1"/>
    <w:qFormat/>
    <w:uiPriority w:val="0"/>
    <w:pPr>
      <w:tabs>
        <w:tab w:val="center" w:pos="4153"/>
        <w:tab w:val="right" w:pos="8306"/>
      </w:tabs>
    </w:pPr>
    <w:rPr>
      <w:rFonts w:ascii="Tahoma" w:hAnsi="Tahoma"/>
      <w:sz w:val="18"/>
      <w:szCs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page number"/>
    <w:basedOn w:val="8"/>
    <w:qFormat/>
    <w:uiPriority w:val="0"/>
  </w:style>
  <w:style w:type="table" w:styleId="11">
    <w:name w:val="Table Grid"/>
    <w:basedOn w:val="10"/>
    <w:qFormat/>
    <w:uiPriority w:val="99"/>
    <w:rPr>
      <w:rFonts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13">
    <w:name w:val="普通(网站)1"/>
    <w:basedOn w:val="1"/>
    <w:qFormat/>
    <w:uiPriority w:val="0"/>
    <w:pPr>
      <w:adjustRightInd/>
      <w:snapToGrid/>
      <w:spacing w:before="100" w:beforeLines="0" w:beforeAutospacing="1" w:after="100" w:afterLines="0" w:afterAutospacing="1"/>
    </w:pPr>
    <w:rPr>
      <w:rFonts w:hint="eastAsia" w:ascii="宋体" w:hAnsi="宋体" w:eastAsia="宋体"/>
      <w:sz w:val="24"/>
    </w:rPr>
  </w:style>
  <w:style w:type="paragraph" w:customStyle="1" w:styleId="14">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15">
    <w:name w:val="Body Text Indent"/>
    <w:basedOn w:val="1"/>
    <w:qFormat/>
    <w:uiPriority w:val="0"/>
    <w:pPr>
      <w:widowControl w:val="0"/>
      <w:snapToGrid/>
      <w:spacing w:after="0" w:afterLines="0" w:line="233" w:lineRule="auto"/>
      <w:ind w:firstLine="570"/>
      <w:jc w:val="both"/>
      <w:textAlignment w:val="baseline"/>
    </w:pPr>
    <w:rPr>
      <w:rFonts w:ascii="仿宋_GB2312" w:hAnsi="Times New Roman" w:eastAsia="仿宋_GB2312" w:cs="Times New Roman"/>
      <w:sz w:val="28"/>
      <w:szCs w:val="20"/>
    </w:rPr>
  </w:style>
  <w:style w:type="paragraph" w:customStyle="1" w:styleId="16">
    <w:name w:val="Plain Text"/>
    <w:basedOn w:val="1"/>
    <w:qFormat/>
    <w:uiPriority w:val="0"/>
    <w:pPr>
      <w:widowControl w:val="0"/>
      <w:adjustRightInd/>
      <w:snapToGrid/>
      <w:spacing w:after="0" w:afterLines="0"/>
      <w:jc w:val="both"/>
    </w:pPr>
    <w:rPr>
      <w:rFonts w:ascii="宋体" w:hAnsi="Courier New" w:eastAsia="宋体" w:cs="Times New Roman"/>
      <w:kern w:val="2"/>
      <w:sz w:val="21"/>
      <w:szCs w:val="20"/>
    </w:rPr>
  </w:style>
  <w:style w:type="paragraph" w:customStyle="1" w:styleId="1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1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9">
    <w:name w:val="page number"/>
    <w:basedOn w:val="8"/>
    <w:qFormat/>
    <w:uiPriority w:val="0"/>
  </w:style>
  <w:style w:type="paragraph" w:customStyle="1" w:styleId="20">
    <w:name w:val="应填表格"/>
    <w:basedOn w:val="1"/>
    <w:qFormat/>
    <w:uiPriority w:val="0"/>
    <w:pPr>
      <w:adjustRightInd w:val="0"/>
      <w:spacing w:before="40" w:after="40"/>
      <w:jc w:val="left"/>
      <w:textAlignment w:val="baseline"/>
    </w:pPr>
    <w:rPr>
      <w:b/>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李泽朝</cp:lastModifiedBy>
  <cp:lastPrinted>2018-12-03T08:33:00Z</cp:lastPrinted>
  <dcterms:modified xsi:type="dcterms:W3CDTF">2018-12-10T01:13:53Z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